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REFERENCE NUMBER:</w:t>
            </w:r>
          </w:p>
        </w:tc>
        <w:tc>
          <w:tcPr>
            <w:tcW w:w="5163" w:type="dxa"/>
            <w:vAlign w:val="center"/>
          </w:tcPr>
          <w:p w14:paraId="2B6D8A46" w14:textId="76608EE3" w:rsidR="00C54AFF" w:rsidRPr="00C54AFF" w:rsidRDefault="00785B2C"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785B2C">
              <w:rPr>
                <w:rFonts w:ascii="Arial" w:hAnsi="Arial" w:cs="Arial"/>
                <w:b/>
                <w:sz w:val="22"/>
                <w:szCs w:val="22"/>
              </w:rPr>
              <w:t>ATNS/FALE/RFQ017/03/07/2022/2023</w:t>
            </w:r>
          </w:p>
        </w:tc>
      </w:tr>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09857012"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w:t>
            </w:r>
            <w:r w:rsidR="00785B2C">
              <w:rPr>
                <w:rFonts w:ascii="Arial" w:hAnsi="Arial" w:cs="Arial"/>
                <w:b/>
                <w:sz w:val="22"/>
                <w:szCs w:val="22"/>
              </w:rPr>
              <w:t>7</w:t>
            </w:r>
            <w:r w:rsidR="00C54AFF" w:rsidRPr="00C54AFF">
              <w:rPr>
                <w:rFonts w:ascii="Arial" w:hAnsi="Arial" w:cs="Arial"/>
                <w:b/>
                <w:sz w:val="22"/>
                <w:szCs w:val="22"/>
              </w:rPr>
              <w:t xml:space="preserve"> </w:t>
            </w:r>
            <w:r w:rsidR="00785B2C">
              <w:rPr>
                <w:rFonts w:ascii="Arial" w:hAnsi="Arial" w:cs="Arial"/>
                <w:b/>
                <w:sz w:val="22"/>
                <w:szCs w:val="22"/>
              </w:rPr>
              <w:t>March</w:t>
            </w:r>
            <w:r w:rsidR="00C54AFF" w:rsidRPr="00C54AFF">
              <w:rPr>
                <w:rFonts w:ascii="Arial" w:hAnsi="Arial" w:cs="Arial"/>
                <w:b/>
                <w:sz w:val="22"/>
                <w:szCs w:val="22"/>
              </w:rPr>
              <w:t xml:space="preserve"> 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198BDBF4" w:rsidR="00C54AFF" w:rsidRPr="00C54AFF" w:rsidRDefault="002E4577"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14</w:t>
            </w:r>
            <w:r w:rsidR="00C54AFF" w:rsidRPr="00C54AFF">
              <w:rPr>
                <w:rFonts w:ascii="Arial" w:eastAsia="Times New Roman" w:hAnsi="Arial" w:cs="Arial"/>
                <w:b/>
                <w:snapToGrid w:val="0"/>
                <w:sz w:val="22"/>
                <w:szCs w:val="22"/>
                <w:lang w:val="en-GB"/>
              </w:rPr>
              <w:t xml:space="preserve"> </w:t>
            </w:r>
            <w:r w:rsidR="00785B2C">
              <w:rPr>
                <w:rFonts w:ascii="Arial" w:eastAsia="Times New Roman" w:hAnsi="Arial" w:cs="Arial"/>
                <w:b/>
                <w:snapToGrid w:val="0"/>
                <w:sz w:val="22"/>
                <w:szCs w:val="22"/>
                <w:lang w:val="en-GB"/>
              </w:rPr>
              <w:t>March</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6FF7000F"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CB62BA">
              <w:rPr>
                <w:rFonts w:ascii="Arial" w:eastAsia="Times New Roman" w:hAnsi="Arial" w:cs="Arial"/>
                <w:b/>
                <w:snapToGrid w:val="0"/>
                <w:sz w:val="22"/>
                <w:szCs w:val="22"/>
                <w:lang w:val="en-GB"/>
              </w:rPr>
              <w:t>5</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31F1FC5F" w:rsidR="00C54AFF" w:rsidRPr="00C54AFF" w:rsidRDefault="00785B2C"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r w:rsidRPr="00785B2C">
              <w:rPr>
                <w:rFonts w:ascii="Arial" w:eastAsia="Times New Roman" w:hAnsi="Arial" w:cs="Arial"/>
                <w:b/>
                <w:snapToGrid w:val="0"/>
                <w:sz w:val="22"/>
                <w:szCs w:val="22"/>
              </w:rPr>
              <w:t>APPOINTMENT OF A SUITABLE SERVICE PROVIDER TO SUPPLY AND DELIVER BATTERIES TO ATNS CONTROL TOWER AT KING SHAKA INTERNATIONAL AIRPORT.</w:t>
            </w:r>
          </w:p>
        </w:tc>
      </w:tr>
      <w:bookmarkEnd w:id="0"/>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13028E5B"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785B2C">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Molete</w:t>
            </w:r>
            <w:r w:rsidR="00785B2C">
              <w:rPr>
                <w:rFonts w:ascii="Arial" w:eastAsia="Times New Roman" w:hAnsi="Arial" w:cs="Arial"/>
                <w:b/>
                <w:snapToGrid w:val="0"/>
                <w:sz w:val="22"/>
                <w:szCs w:val="22"/>
                <w:lang w:val="en-GB"/>
              </w:rPr>
              <w:t xml:space="preserve"> Makhutle</w:t>
            </w:r>
            <w:r w:rsidR="00743013">
              <w:rPr>
                <w:rFonts w:ascii="Arial" w:eastAsia="Times New Roman" w:hAnsi="Arial" w:cs="Arial"/>
                <w:b/>
                <w:snapToGrid w:val="0"/>
                <w:sz w:val="22"/>
                <w:szCs w:val="22"/>
                <w:lang w:val="en-GB"/>
              </w:rPr>
              <w:t xml:space="preserve"> </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1"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1"/>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0E3F9A37" w14:textId="77777777" w:rsid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p w14:paraId="79359C3A" w14:textId="1A2B67F3" w:rsidR="00785B2C" w:rsidRPr="00785B2C" w:rsidRDefault="00785B2C" w:rsidP="00785B2C">
            <w:pPr>
              <w:rPr>
                <w:rFonts w:ascii="Arial" w:eastAsia="Times New Roman" w:hAnsi="Arial" w:cs="Arial"/>
                <w:sz w:val="22"/>
                <w:szCs w:val="22"/>
                <w:lang w:val="en-GB"/>
              </w:rPr>
            </w:pP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2" w:name="_Hlk77670251"/>
            <w:r w:rsidRPr="00C54AFF">
              <w:rPr>
                <w:rFonts w:ascii="Arial" w:eastAsia="Times New Roman" w:hAnsi="Arial" w:cs="Arial"/>
                <w:b/>
                <w:snapToGrid w:val="0"/>
                <w:sz w:val="22"/>
                <w:szCs w:val="22"/>
                <w:lang w:val="en-GB"/>
              </w:rPr>
              <w:t>Valid Tax Pin Status</w:t>
            </w:r>
          </w:p>
          <w:bookmarkEnd w:id="2"/>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3"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77777777" w:rsidR="00C54AFF" w:rsidRPr="00C54AFF" w:rsidRDefault="00C54AFF"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bookmarkEnd w:id="3"/>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0C296F0B"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785B2C">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8ED793F" w14:textId="77777777" w:rsidR="00C54AFF" w:rsidRPr="00C54AFF" w:rsidRDefault="00C54AFF" w:rsidP="00C54AFF">
      <w:pPr>
        <w:spacing w:after="200" w:line="360" w:lineRule="auto"/>
        <w:rPr>
          <w:rFonts w:ascii="Arial" w:eastAsia="Calibri" w:hAnsi="Arial" w:cs="Arial"/>
          <w:b/>
          <w:sz w:val="22"/>
          <w:szCs w:val="22"/>
          <w:u w:val="single"/>
          <w:lang w:val="en-ZA"/>
        </w:rPr>
      </w:pPr>
    </w:p>
    <w:p w14:paraId="40F577AF" w14:textId="5073F8C9" w:rsidR="00D96356" w:rsidRPr="00FE2146" w:rsidRDefault="00D96356" w:rsidP="00D96356">
      <w:pPr>
        <w:spacing w:line="276" w:lineRule="auto"/>
        <w:jc w:val="center"/>
        <w:rPr>
          <w:rFonts w:ascii="Arial" w:hAnsi="Arial" w:cs="Arial"/>
          <w:b/>
          <w:bCs/>
          <w:sz w:val="22"/>
          <w:szCs w:val="22"/>
        </w:rPr>
      </w:pPr>
      <w:bookmarkStart w:id="4" w:name="_Toc464451931"/>
      <w:r w:rsidRPr="00FE2146">
        <w:rPr>
          <w:rFonts w:ascii="Arial" w:hAnsi="Arial" w:cs="Arial"/>
          <w:b/>
          <w:bCs/>
          <w:sz w:val="22"/>
          <w:szCs w:val="22"/>
        </w:rPr>
        <w:t>ANNEXURE A: S</w:t>
      </w:r>
      <w:r w:rsidR="00E34D51">
        <w:rPr>
          <w:rFonts w:ascii="Arial" w:hAnsi="Arial" w:cs="Arial"/>
          <w:b/>
          <w:bCs/>
          <w:sz w:val="22"/>
          <w:szCs w:val="22"/>
        </w:rPr>
        <w:t>PECIFICATIONS</w:t>
      </w:r>
    </w:p>
    <w:p w14:paraId="23FD4892" w14:textId="77777777" w:rsidR="00D96356" w:rsidRPr="00FE2146" w:rsidRDefault="00D96356" w:rsidP="00D96356">
      <w:pPr>
        <w:pStyle w:val="Heading2"/>
        <w:spacing w:before="0" w:after="0" w:line="360" w:lineRule="auto"/>
        <w:rPr>
          <w:sz w:val="20"/>
          <w:szCs w:val="20"/>
          <w:lang w:val="en-GB"/>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4"/>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32D5409E"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 delivery  of a</w:t>
      </w:r>
      <w:r w:rsidR="009838B1">
        <w:rPr>
          <w:rFonts w:ascii="Arial" w:hAnsi="Arial" w:cs="Arial"/>
          <w:b/>
          <w:bCs/>
          <w:sz w:val="22"/>
          <w:szCs w:val="22"/>
        </w:rPr>
        <w:t xml:space="preserve"> </w:t>
      </w:r>
      <w:r w:rsidR="00785B2C">
        <w:rPr>
          <w:rFonts w:ascii="Arial" w:hAnsi="Arial" w:cs="Arial"/>
          <w:b/>
          <w:bCs/>
          <w:sz w:val="22"/>
          <w:szCs w:val="22"/>
        </w:rPr>
        <w:t>Batteries</w:t>
      </w:r>
      <w:r w:rsidR="00BF3ECE" w:rsidRPr="00902982">
        <w:rPr>
          <w:rFonts w:ascii="Arial" w:hAnsi="Arial" w:cs="Arial"/>
          <w:b/>
          <w:bCs/>
          <w:sz w:val="22"/>
          <w:szCs w:val="22"/>
        </w:rPr>
        <w:t xml:space="preserve"> </w:t>
      </w:r>
      <w:r w:rsidRPr="00E8790E">
        <w:rPr>
          <w:rFonts w:ascii="Arial" w:hAnsi="Arial" w:cs="Arial"/>
          <w:sz w:val="22"/>
          <w:szCs w:val="22"/>
        </w:rPr>
        <w:t xml:space="preserve">at </w:t>
      </w:r>
      <w:r>
        <w:rPr>
          <w:rFonts w:ascii="Arial" w:hAnsi="Arial" w:cs="Arial"/>
          <w:sz w:val="22"/>
          <w:szCs w:val="22"/>
        </w:rPr>
        <w:t>ATNS</w:t>
      </w:r>
      <w:r w:rsidR="00785B2C">
        <w:rPr>
          <w:rFonts w:ascii="Arial" w:hAnsi="Arial" w:cs="Arial"/>
          <w:sz w:val="22"/>
          <w:szCs w:val="22"/>
        </w:rPr>
        <w:t xml:space="preserve"> Control Tower</w:t>
      </w:r>
      <w:r>
        <w:rPr>
          <w:rFonts w:ascii="Arial" w:hAnsi="Arial" w:cs="Arial"/>
          <w:sz w:val="22"/>
          <w:szCs w:val="22"/>
        </w:rPr>
        <w:t xml:space="preserve"> </w:t>
      </w:r>
      <w:r w:rsidR="00743013">
        <w:rPr>
          <w:rFonts w:ascii="Arial" w:hAnsi="Arial" w:cs="Arial"/>
          <w:sz w:val="22"/>
          <w:szCs w:val="22"/>
        </w:rPr>
        <w:t>–</w:t>
      </w:r>
      <w:r>
        <w:rPr>
          <w:rFonts w:ascii="Arial" w:hAnsi="Arial" w:cs="Arial"/>
          <w:sz w:val="22"/>
          <w:szCs w:val="22"/>
        </w:rPr>
        <w:t xml:space="preserve"> </w:t>
      </w:r>
      <w:r w:rsidR="00743013">
        <w:rPr>
          <w:rFonts w:ascii="Arial" w:hAnsi="Arial" w:cs="Arial"/>
          <w:sz w:val="22"/>
          <w:szCs w:val="22"/>
        </w:rPr>
        <w:t xml:space="preserve">King Shaka </w:t>
      </w:r>
      <w:r w:rsidRPr="00E8790E">
        <w:rPr>
          <w:rFonts w:ascii="Arial" w:hAnsi="Arial" w:cs="Arial"/>
          <w:sz w:val="22"/>
          <w:szCs w:val="22"/>
        </w:rPr>
        <w:t xml:space="preserve"> International Airport</w:t>
      </w:r>
      <w:r w:rsidR="00743013">
        <w:rPr>
          <w:rFonts w:ascii="Arial" w:hAnsi="Arial" w:cs="Arial"/>
          <w:sz w:val="22"/>
          <w:szCs w:val="22"/>
        </w:rPr>
        <w:t>-FALE.</w:t>
      </w:r>
    </w:p>
    <w:p w14:paraId="5B57026F" w14:textId="54BCCDEB" w:rsidR="00D96356" w:rsidRDefault="00D96356" w:rsidP="00B747AB">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6A348CAE" w14:textId="77777777" w:rsidR="00B747AB" w:rsidRPr="00B747AB" w:rsidRDefault="00B747AB" w:rsidP="00B747AB">
      <w:pPr>
        <w:spacing w:line="360" w:lineRule="auto"/>
        <w:jc w:val="both"/>
        <w:rPr>
          <w:rFonts w:ascii="Arial" w:hAnsi="Arial" w:cs="Arial"/>
          <w:sz w:val="22"/>
          <w:szCs w:val="22"/>
        </w:rPr>
      </w:pPr>
    </w:p>
    <w:p w14:paraId="355E6668" w14:textId="1DF17FB4" w:rsidR="00B747AB" w:rsidRDefault="00B747AB" w:rsidP="00D96356">
      <w:pPr>
        <w:spacing w:line="276" w:lineRule="auto"/>
        <w:rPr>
          <w:rFonts w:ascii="Arial" w:hAnsi="Arial" w:cs="Arial"/>
          <w:b/>
          <w:bCs/>
          <w:sz w:val="22"/>
          <w:szCs w:val="22"/>
        </w:rPr>
      </w:pPr>
      <w:r>
        <w:rPr>
          <w:rFonts w:ascii="Arial" w:hAnsi="Arial" w:cs="Arial"/>
          <w:b/>
          <w:bCs/>
          <w:sz w:val="22"/>
          <w:szCs w:val="22"/>
        </w:rPr>
        <w:t xml:space="preserve">Note: </w:t>
      </w:r>
      <w:r w:rsidRPr="00B747AB">
        <w:rPr>
          <w:rFonts w:ascii="Arial" w:hAnsi="Arial" w:cs="Arial"/>
          <w:b/>
          <w:bCs/>
          <w:sz w:val="22"/>
          <w:szCs w:val="22"/>
        </w:rPr>
        <w:t xml:space="preserve">Battery terminals must be </w:t>
      </w:r>
      <w:proofErr w:type="gramStart"/>
      <w:r w:rsidRPr="00B747AB">
        <w:rPr>
          <w:rFonts w:ascii="Arial" w:hAnsi="Arial" w:cs="Arial"/>
          <w:b/>
          <w:bCs/>
          <w:sz w:val="22"/>
          <w:szCs w:val="22"/>
        </w:rPr>
        <w:t>screw</w:t>
      </w:r>
      <w:proofErr w:type="gramEnd"/>
      <w:r w:rsidRPr="00B747AB">
        <w:rPr>
          <w:rFonts w:ascii="Arial" w:hAnsi="Arial" w:cs="Arial"/>
          <w:b/>
          <w:bCs/>
          <w:sz w:val="22"/>
          <w:szCs w:val="22"/>
        </w:rPr>
        <w:t xml:space="preserve"> type </w:t>
      </w:r>
      <w:proofErr w:type="spellStart"/>
      <w:r w:rsidRPr="00B747AB">
        <w:rPr>
          <w:rFonts w:ascii="Arial" w:hAnsi="Arial" w:cs="Arial"/>
          <w:b/>
          <w:bCs/>
          <w:sz w:val="22"/>
          <w:szCs w:val="22"/>
        </w:rPr>
        <w:t>non negotiable</w:t>
      </w:r>
      <w:proofErr w:type="spellEnd"/>
      <w:r w:rsidRPr="00B747AB">
        <w:rPr>
          <w:rFonts w:ascii="Arial" w:hAnsi="Arial" w:cs="Arial"/>
          <w:b/>
          <w:bCs/>
          <w:sz w:val="22"/>
          <w:szCs w:val="22"/>
        </w:rPr>
        <w:t>. Batteries must be</w:t>
      </w:r>
      <w:r>
        <w:rPr>
          <w:rFonts w:ascii="Arial" w:hAnsi="Arial" w:cs="Arial"/>
          <w:b/>
          <w:bCs/>
          <w:sz w:val="22"/>
          <w:szCs w:val="22"/>
        </w:rPr>
        <w:t xml:space="preserve"> </w:t>
      </w:r>
      <w:r w:rsidRPr="00B747AB">
        <w:rPr>
          <w:rFonts w:ascii="Arial" w:hAnsi="Arial" w:cs="Arial"/>
          <w:b/>
          <w:bCs/>
          <w:sz w:val="22"/>
          <w:szCs w:val="22"/>
        </w:rPr>
        <w:t>delivered at ATNS Control Tower, King Shaka International Airport, Tongaat, Durban. Batteries must be the product requested not the alternative product.</w:t>
      </w:r>
    </w:p>
    <w:p w14:paraId="08E4CC54" w14:textId="77777777" w:rsidR="00B747AB" w:rsidRPr="00FE2146" w:rsidRDefault="00B747AB" w:rsidP="00D96356">
      <w:pPr>
        <w:spacing w:line="276" w:lineRule="auto"/>
        <w:rPr>
          <w:rFonts w:ascii="Arial" w:hAnsi="Arial" w:cs="Arial"/>
          <w:b/>
          <w:bCs/>
          <w:sz w:val="22"/>
          <w:szCs w:val="22"/>
        </w:rPr>
      </w:pPr>
    </w:p>
    <w:p w14:paraId="41417DB8" w14:textId="408699EF" w:rsidR="00D96356" w:rsidRDefault="00E34D51" w:rsidP="00E34D51">
      <w:pPr>
        <w:pStyle w:val="ListParagraph"/>
        <w:numPr>
          <w:ilvl w:val="0"/>
          <w:numId w:val="29"/>
        </w:numPr>
        <w:spacing w:line="360" w:lineRule="auto"/>
        <w:jc w:val="both"/>
        <w:rPr>
          <w:rFonts w:ascii="Arial" w:eastAsia="Cambria" w:hAnsi="Arial" w:cs="Arial"/>
          <w:b/>
          <w:sz w:val="22"/>
          <w:szCs w:val="22"/>
        </w:rPr>
      </w:pPr>
      <w:r w:rsidRPr="00E34D51">
        <w:rPr>
          <w:rFonts w:ascii="Arial" w:eastAsia="Cambria" w:hAnsi="Arial" w:cs="Arial"/>
          <w:b/>
          <w:sz w:val="22"/>
          <w:szCs w:val="22"/>
        </w:rPr>
        <w:t>Detailed specifications</w:t>
      </w:r>
    </w:p>
    <w:tbl>
      <w:tblPr>
        <w:tblStyle w:val="TableGrid"/>
        <w:tblW w:w="11206" w:type="dxa"/>
        <w:tblInd w:w="-1146" w:type="dxa"/>
        <w:tblLayout w:type="fixed"/>
        <w:tblLook w:val="04A0" w:firstRow="1" w:lastRow="0" w:firstColumn="1" w:lastColumn="0" w:noHBand="0" w:noVBand="1"/>
      </w:tblPr>
      <w:tblGrid>
        <w:gridCol w:w="1850"/>
        <w:gridCol w:w="470"/>
        <w:gridCol w:w="664"/>
        <w:gridCol w:w="2410"/>
        <w:gridCol w:w="5812"/>
      </w:tblGrid>
      <w:tr w:rsidR="00D72884" w14:paraId="1A9BFB8E" w14:textId="77777777" w:rsidTr="00D72884">
        <w:tc>
          <w:tcPr>
            <w:tcW w:w="1850" w:type="dxa"/>
            <w:shd w:val="clear" w:color="auto" w:fill="FABF8F" w:themeFill="accent6" w:themeFillTint="99"/>
          </w:tcPr>
          <w:p w14:paraId="0BC99E14" w14:textId="0335AFB2" w:rsidR="00E34D51" w:rsidRDefault="00E34D51"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Items</w:t>
            </w:r>
          </w:p>
        </w:tc>
        <w:tc>
          <w:tcPr>
            <w:tcW w:w="470" w:type="dxa"/>
            <w:shd w:val="clear" w:color="auto" w:fill="FABF8F" w:themeFill="accent6" w:themeFillTint="99"/>
          </w:tcPr>
          <w:p w14:paraId="50C21465" w14:textId="77777777" w:rsidR="00E34D51" w:rsidRDefault="00E34D51" w:rsidP="00E34D51">
            <w:pPr>
              <w:pStyle w:val="ListParagraph"/>
              <w:spacing w:line="360" w:lineRule="auto"/>
              <w:ind w:left="0"/>
              <w:jc w:val="both"/>
              <w:rPr>
                <w:rFonts w:ascii="Arial" w:eastAsia="Cambria" w:hAnsi="Arial" w:cs="Arial"/>
                <w:b/>
                <w:sz w:val="22"/>
                <w:szCs w:val="22"/>
              </w:rPr>
            </w:pPr>
          </w:p>
        </w:tc>
        <w:tc>
          <w:tcPr>
            <w:tcW w:w="664" w:type="dxa"/>
            <w:shd w:val="clear" w:color="auto" w:fill="FABF8F" w:themeFill="accent6" w:themeFillTint="99"/>
          </w:tcPr>
          <w:p w14:paraId="40954A32" w14:textId="77777777" w:rsidR="00E34D51" w:rsidRDefault="00E34D51" w:rsidP="00E34D51">
            <w:pPr>
              <w:pStyle w:val="ListParagraph"/>
              <w:spacing w:line="360" w:lineRule="auto"/>
              <w:ind w:left="0"/>
              <w:jc w:val="both"/>
              <w:rPr>
                <w:rFonts w:ascii="Arial" w:eastAsia="Cambria" w:hAnsi="Arial" w:cs="Arial"/>
                <w:b/>
                <w:sz w:val="22"/>
                <w:szCs w:val="22"/>
              </w:rPr>
            </w:pPr>
          </w:p>
        </w:tc>
        <w:tc>
          <w:tcPr>
            <w:tcW w:w="8222" w:type="dxa"/>
            <w:gridSpan w:val="2"/>
            <w:shd w:val="clear" w:color="auto" w:fill="FABF8F" w:themeFill="accent6" w:themeFillTint="99"/>
          </w:tcPr>
          <w:p w14:paraId="3A4C4265" w14:textId="5C31B6E3" w:rsidR="00E34D51" w:rsidRDefault="00FC010C" w:rsidP="00FC010C">
            <w:pPr>
              <w:pStyle w:val="ListParagraph"/>
              <w:spacing w:line="360" w:lineRule="auto"/>
              <w:ind w:left="0"/>
              <w:jc w:val="center"/>
              <w:rPr>
                <w:rFonts w:ascii="Arial" w:eastAsia="Cambria" w:hAnsi="Arial" w:cs="Arial"/>
                <w:b/>
                <w:sz w:val="22"/>
                <w:szCs w:val="22"/>
              </w:rPr>
            </w:pPr>
            <w:r>
              <w:rPr>
                <w:rFonts w:ascii="Arial" w:eastAsia="Cambria" w:hAnsi="Arial" w:cs="Arial"/>
                <w:b/>
                <w:sz w:val="22"/>
                <w:szCs w:val="22"/>
              </w:rPr>
              <w:t xml:space="preserve">Item Description </w:t>
            </w:r>
          </w:p>
        </w:tc>
      </w:tr>
      <w:tr w:rsidR="009838B1" w14:paraId="13FE93A5" w14:textId="77777777" w:rsidTr="00D72884">
        <w:tc>
          <w:tcPr>
            <w:tcW w:w="1850" w:type="dxa"/>
            <w:shd w:val="clear" w:color="auto" w:fill="FABF8F" w:themeFill="accent6" w:themeFillTint="99"/>
          </w:tcPr>
          <w:p w14:paraId="6D0E2869" w14:textId="4F9CC78E" w:rsidR="00E34D51" w:rsidRDefault="00E34D51"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Equipment’s</w:t>
            </w:r>
          </w:p>
        </w:tc>
        <w:tc>
          <w:tcPr>
            <w:tcW w:w="1134" w:type="dxa"/>
            <w:gridSpan w:val="2"/>
            <w:shd w:val="clear" w:color="auto" w:fill="FABF8F" w:themeFill="accent6" w:themeFillTint="99"/>
          </w:tcPr>
          <w:p w14:paraId="53313C54" w14:textId="3F720D59" w:rsidR="00E34D51" w:rsidRDefault="00E34D51"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Quantity</w:t>
            </w:r>
          </w:p>
        </w:tc>
        <w:tc>
          <w:tcPr>
            <w:tcW w:w="2410" w:type="dxa"/>
            <w:shd w:val="clear" w:color="auto" w:fill="FABF8F" w:themeFill="accent6" w:themeFillTint="99"/>
          </w:tcPr>
          <w:p w14:paraId="22E449D8" w14:textId="51A2C3B4" w:rsidR="00E34D51" w:rsidRDefault="00E34D51"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Specification</w:t>
            </w:r>
          </w:p>
        </w:tc>
        <w:tc>
          <w:tcPr>
            <w:tcW w:w="5812" w:type="dxa"/>
            <w:shd w:val="clear" w:color="auto" w:fill="FABF8F" w:themeFill="accent6" w:themeFillTint="99"/>
          </w:tcPr>
          <w:p w14:paraId="2AF1A974" w14:textId="07E18FF6" w:rsidR="00E34D51" w:rsidRDefault="00E34D51"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Picture (Used as an example)</w:t>
            </w:r>
          </w:p>
        </w:tc>
      </w:tr>
      <w:tr w:rsidR="009838B1" w14:paraId="2CCECC08" w14:textId="77777777" w:rsidTr="00FC010C">
        <w:tc>
          <w:tcPr>
            <w:tcW w:w="1850" w:type="dxa"/>
          </w:tcPr>
          <w:p w14:paraId="2872E5E1" w14:textId="25C37A7B" w:rsidR="00E34D51" w:rsidRDefault="00E34D51" w:rsidP="00E34D51">
            <w:pPr>
              <w:pStyle w:val="ListParagraph"/>
              <w:spacing w:line="360" w:lineRule="auto"/>
              <w:ind w:left="0"/>
              <w:jc w:val="both"/>
              <w:rPr>
                <w:rFonts w:ascii="Arial" w:eastAsia="Cambria" w:hAnsi="Arial" w:cs="Arial"/>
                <w:b/>
                <w:sz w:val="22"/>
                <w:szCs w:val="22"/>
              </w:rPr>
            </w:pPr>
            <w:bookmarkStart w:id="5" w:name="_Hlk129083744"/>
            <w:r>
              <w:rPr>
                <w:rFonts w:ascii="Arial" w:eastAsia="Cambria" w:hAnsi="Arial" w:cs="Arial"/>
                <w:b/>
                <w:sz w:val="22"/>
                <w:szCs w:val="22"/>
              </w:rPr>
              <w:t xml:space="preserve"> </w:t>
            </w:r>
            <w:bookmarkEnd w:id="5"/>
            <w:r w:rsidR="00D72884">
              <w:rPr>
                <w:rFonts w:ascii="Arial" w:eastAsia="Cambria" w:hAnsi="Arial" w:cs="Arial"/>
                <w:b/>
                <w:sz w:val="22"/>
                <w:szCs w:val="22"/>
              </w:rPr>
              <w:t>Battery</w:t>
            </w:r>
          </w:p>
        </w:tc>
        <w:tc>
          <w:tcPr>
            <w:tcW w:w="1134" w:type="dxa"/>
            <w:gridSpan w:val="2"/>
          </w:tcPr>
          <w:p w14:paraId="5AE9A069" w14:textId="353FBB65" w:rsidR="00E34D51" w:rsidRDefault="00E34D51"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24</w:t>
            </w:r>
          </w:p>
        </w:tc>
        <w:tc>
          <w:tcPr>
            <w:tcW w:w="2410" w:type="dxa"/>
          </w:tcPr>
          <w:p w14:paraId="4FBBB469" w14:textId="0A89BDD2" w:rsidR="00E34D51" w:rsidRDefault="00D72884" w:rsidP="00E34D51">
            <w:pPr>
              <w:pStyle w:val="ListParagraph"/>
              <w:spacing w:line="360" w:lineRule="auto"/>
              <w:ind w:left="0"/>
              <w:jc w:val="both"/>
              <w:rPr>
                <w:rFonts w:ascii="Arial" w:eastAsia="Cambria" w:hAnsi="Arial" w:cs="Arial"/>
                <w:b/>
                <w:sz w:val="22"/>
                <w:szCs w:val="22"/>
              </w:rPr>
            </w:pPr>
            <w:r w:rsidRPr="00D72884">
              <w:rPr>
                <w:rFonts w:ascii="Arial" w:eastAsia="Cambria" w:hAnsi="Arial" w:cs="Arial"/>
                <w:b/>
                <w:sz w:val="22"/>
                <w:szCs w:val="22"/>
              </w:rPr>
              <w:t>Deep Cycle Battery – 105AH- BD-54 -105N</w:t>
            </w:r>
            <w:r>
              <w:rPr>
                <w:rFonts w:ascii="Arial" w:eastAsia="Cambria" w:hAnsi="Arial" w:cs="Arial"/>
                <w:b/>
                <w:sz w:val="22"/>
                <w:szCs w:val="22"/>
              </w:rPr>
              <w:t xml:space="preserve"> or equivalent</w:t>
            </w:r>
          </w:p>
        </w:tc>
        <w:tc>
          <w:tcPr>
            <w:tcW w:w="5812" w:type="dxa"/>
          </w:tcPr>
          <w:p w14:paraId="6F04F8EF" w14:textId="52C5F0CA" w:rsidR="00E34D51" w:rsidRDefault="00E34D51" w:rsidP="00E34D51">
            <w:pPr>
              <w:pStyle w:val="ListParagraph"/>
              <w:spacing w:line="360" w:lineRule="auto"/>
              <w:ind w:left="0"/>
              <w:jc w:val="both"/>
              <w:rPr>
                <w:rFonts w:ascii="Arial" w:eastAsia="Cambria" w:hAnsi="Arial" w:cs="Arial"/>
                <w:b/>
                <w:sz w:val="22"/>
                <w:szCs w:val="22"/>
              </w:rPr>
            </w:pPr>
            <w:r w:rsidRPr="00E34D51">
              <w:rPr>
                <w:rFonts w:ascii="Calibri" w:eastAsia="Calibri" w:hAnsi="Calibri" w:cs="Calibri"/>
                <w:noProof/>
                <w:color w:val="000000"/>
                <w:sz w:val="22"/>
                <w:szCs w:val="22"/>
                <w:lang w:val="en-ZA" w:eastAsia="en-ZA"/>
              </w:rPr>
              <w:drawing>
                <wp:inline distT="0" distB="0" distL="0" distR="0" wp14:anchorId="0EB350A6" wp14:editId="5FE27EA8">
                  <wp:extent cx="3707130" cy="2818765"/>
                  <wp:effectExtent l="0" t="0" r="7620" b="635"/>
                  <wp:docPr id="1873" name="Picture 1873"/>
                  <wp:cNvGraphicFramePr/>
                  <a:graphic xmlns:a="http://schemas.openxmlformats.org/drawingml/2006/main">
                    <a:graphicData uri="http://schemas.openxmlformats.org/drawingml/2006/picture">
                      <pic:pic xmlns:pic="http://schemas.openxmlformats.org/drawingml/2006/picture">
                        <pic:nvPicPr>
                          <pic:cNvPr id="1873" name="Picture 1873"/>
                          <pic:cNvPicPr/>
                        </pic:nvPicPr>
                        <pic:blipFill>
                          <a:blip r:embed="rId7"/>
                          <a:stretch>
                            <a:fillRect/>
                          </a:stretch>
                        </pic:blipFill>
                        <pic:spPr>
                          <a:xfrm>
                            <a:off x="0" y="0"/>
                            <a:ext cx="3744068" cy="2846851"/>
                          </a:xfrm>
                          <a:prstGeom prst="rect">
                            <a:avLst/>
                          </a:prstGeom>
                        </pic:spPr>
                      </pic:pic>
                    </a:graphicData>
                  </a:graphic>
                </wp:inline>
              </w:drawing>
            </w:r>
          </w:p>
        </w:tc>
      </w:tr>
    </w:tbl>
    <w:p w14:paraId="06CC474F" w14:textId="77777777" w:rsidR="00E34D51" w:rsidRPr="00E34D51" w:rsidRDefault="00E34D51" w:rsidP="00E34D51">
      <w:pPr>
        <w:pStyle w:val="ListParagraph"/>
        <w:spacing w:line="360" w:lineRule="auto"/>
        <w:ind w:left="1080"/>
        <w:jc w:val="both"/>
        <w:rPr>
          <w:rFonts w:ascii="Arial" w:eastAsia="Cambria" w:hAnsi="Arial" w:cs="Arial"/>
          <w:b/>
          <w:sz w:val="22"/>
          <w:szCs w:val="22"/>
        </w:rPr>
      </w:pPr>
    </w:p>
    <w:p w14:paraId="0880C74D" w14:textId="0DD606E0" w:rsidR="00D96356" w:rsidRDefault="00FC010C" w:rsidP="00D96356">
      <w:pPr>
        <w:rPr>
          <w:rFonts w:ascii="Arial" w:eastAsia="Cambria" w:hAnsi="Arial" w:cs="Arial"/>
          <w:b/>
          <w:sz w:val="22"/>
          <w:szCs w:val="22"/>
        </w:rPr>
      </w:pPr>
      <w:r>
        <w:rPr>
          <w:rFonts w:ascii="Arial" w:eastAsia="Cambria" w:hAnsi="Arial" w:cs="Arial"/>
          <w:b/>
          <w:sz w:val="22"/>
          <w:szCs w:val="22"/>
        </w:rPr>
        <w:t>NB: kindly note that the batteries needed should be screw type terminals, we will not accept any other batteries.</w:t>
      </w:r>
      <w:r w:rsidR="00B747AB">
        <w:rPr>
          <w:rFonts w:ascii="Arial" w:eastAsia="Cambria" w:hAnsi="Arial" w:cs="Arial"/>
          <w:b/>
          <w:sz w:val="22"/>
          <w:szCs w:val="22"/>
        </w:rPr>
        <w:t xml:space="preserve"> The batteries must be in </w:t>
      </w:r>
      <w:proofErr w:type="gramStart"/>
      <w:r w:rsidR="00B747AB" w:rsidRPr="00B747AB">
        <w:rPr>
          <w:rFonts w:ascii="Arial" w:eastAsia="Cambria" w:hAnsi="Arial" w:cs="Arial"/>
          <w:b/>
          <w:sz w:val="22"/>
          <w:szCs w:val="22"/>
        </w:rPr>
        <w:t>Good</w:t>
      </w:r>
      <w:proofErr w:type="gramEnd"/>
      <w:r w:rsidR="00B747AB" w:rsidRPr="00B747AB">
        <w:rPr>
          <w:rFonts w:ascii="Arial" w:eastAsia="Cambria" w:hAnsi="Arial" w:cs="Arial"/>
          <w:b/>
          <w:sz w:val="22"/>
          <w:szCs w:val="22"/>
        </w:rPr>
        <w:t xml:space="preserve"> quality </w:t>
      </w:r>
      <w:r w:rsidR="00B747AB">
        <w:rPr>
          <w:rFonts w:ascii="Arial" w:eastAsia="Cambria" w:hAnsi="Arial" w:cs="Arial"/>
          <w:b/>
          <w:sz w:val="22"/>
          <w:szCs w:val="22"/>
        </w:rPr>
        <w:t xml:space="preserve">and </w:t>
      </w:r>
      <w:r w:rsidR="00B747AB" w:rsidRPr="00B747AB">
        <w:rPr>
          <w:rFonts w:ascii="Arial" w:eastAsia="Cambria" w:hAnsi="Arial" w:cs="Arial"/>
          <w:b/>
          <w:sz w:val="22"/>
          <w:szCs w:val="22"/>
        </w:rPr>
        <w:t>SABS approved</w:t>
      </w:r>
      <w:r w:rsidR="00B747AB">
        <w:rPr>
          <w:rFonts w:ascii="Arial" w:eastAsia="Cambria" w:hAnsi="Arial" w:cs="Arial"/>
          <w:b/>
          <w:sz w:val="22"/>
          <w:szCs w:val="22"/>
        </w:rPr>
        <w:t>.</w:t>
      </w:r>
      <w:r w:rsidR="00D96356">
        <w:rPr>
          <w:rFonts w:ascii="Arial" w:eastAsia="Cambria" w:hAnsi="Arial" w:cs="Arial"/>
          <w:b/>
          <w:sz w:val="22"/>
          <w:szCs w:val="22"/>
        </w:rPr>
        <w:br w:type="page"/>
      </w:r>
    </w:p>
    <w:p w14:paraId="4F6A8513" w14:textId="77777777"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lastRenderedPageBreak/>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9055" w:type="dxa"/>
        <w:tblInd w:w="-5" w:type="dxa"/>
        <w:tblLayout w:type="fixed"/>
        <w:tblLook w:val="04A0" w:firstRow="1" w:lastRow="0" w:firstColumn="1" w:lastColumn="0" w:noHBand="0" w:noVBand="1"/>
      </w:tblPr>
      <w:tblGrid>
        <w:gridCol w:w="3823"/>
        <w:gridCol w:w="1134"/>
        <w:gridCol w:w="2126"/>
        <w:gridCol w:w="1972"/>
      </w:tblGrid>
      <w:tr w:rsidR="00D96356" w:rsidRPr="004A4037" w14:paraId="506E26DE" w14:textId="77777777" w:rsidTr="006E41CC">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134"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2126"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972"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6E41CC">
        <w:trPr>
          <w:trHeight w:val="383"/>
        </w:trPr>
        <w:tc>
          <w:tcPr>
            <w:tcW w:w="3823" w:type="dxa"/>
          </w:tcPr>
          <w:p w14:paraId="2CD602E4" w14:textId="4C154F22" w:rsidR="00743013" w:rsidRPr="00F17A17" w:rsidRDefault="00FC010C" w:rsidP="00743013">
            <w:pPr>
              <w:spacing w:line="360" w:lineRule="auto"/>
              <w:rPr>
                <w:rFonts w:ascii="Arial" w:hAnsi="Arial" w:cs="Arial"/>
                <w:bCs/>
                <w:snapToGrid w:val="0"/>
                <w:sz w:val="22"/>
                <w:szCs w:val="22"/>
              </w:rPr>
            </w:pPr>
            <w:r>
              <w:rPr>
                <w:rFonts w:ascii="Arial" w:hAnsi="Arial" w:cs="Arial"/>
                <w:bCs/>
                <w:snapToGrid w:val="0"/>
                <w:sz w:val="22"/>
                <w:szCs w:val="22"/>
              </w:rPr>
              <w:t>Deep cycle Battery – 105AH-BD- 54- 105N or equivalent</w:t>
            </w:r>
          </w:p>
        </w:tc>
        <w:tc>
          <w:tcPr>
            <w:tcW w:w="1134" w:type="dxa"/>
          </w:tcPr>
          <w:p w14:paraId="2939C26A" w14:textId="3AF6E167" w:rsidR="00743013" w:rsidRPr="004263F2" w:rsidRDefault="00FC010C" w:rsidP="00743013">
            <w:pPr>
              <w:rPr>
                <w:rFonts w:ascii="Arial" w:hAnsi="Arial" w:cs="Arial"/>
                <w:bCs/>
                <w:snapToGrid w:val="0"/>
                <w:sz w:val="22"/>
                <w:szCs w:val="22"/>
              </w:rPr>
            </w:pPr>
            <w:r>
              <w:rPr>
                <w:rFonts w:ascii="Arial" w:hAnsi="Arial" w:cs="Arial"/>
                <w:bCs/>
                <w:snapToGrid w:val="0"/>
                <w:sz w:val="22"/>
                <w:szCs w:val="22"/>
              </w:rPr>
              <w:t>24</w:t>
            </w:r>
          </w:p>
        </w:tc>
        <w:tc>
          <w:tcPr>
            <w:tcW w:w="2126"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972"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647D3400" w14:textId="77777777" w:rsidTr="006E41CC">
        <w:trPr>
          <w:trHeight w:val="559"/>
        </w:trPr>
        <w:tc>
          <w:tcPr>
            <w:tcW w:w="4957" w:type="dxa"/>
            <w:gridSpan w:val="2"/>
            <w:vMerge w:val="restart"/>
            <w:tcBorders>
              <w:left w:val="nil"/>
              <w:bottom w:val="nil"/>
            </w:tcBorders>
          </w:tcPr>
          <w:p w14:paraId="03622858" w14:textId="77777777" w:rsidR="00743013" w:rsidRDefault="00743013" w:rsidP="00743013">
            <w:pPr>
              <w:rPr>
                <w:rFonts w:ascii="Arial" w:hAnsi="Arial" w:cs="Arial"/>
                <w:bCs/>
                <w:snapToGrid w:val="0"/>
                <w:sz w:val="22"/>
                <w:szCs w:val="22"/>
              </w:rPr>
            </w:pPr>
          </w:p>
        </w:tc>
        <w:tc>
          <w:tcPr>
            <w:tcW w:w="2126" w:type="dxa"/>
          </w:tcPr>
          <w:p w14:paraId="67B2600E" w14:textId="77777777" w:rsidR="00743013" w:rsidRPr="00C03EA7" w:rsidRDefault="00743013" w:rsidP="00743013">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972" w:type="dxa"/>
          </w:tcPr>
          <w:p w14:paraId="411BD9BE"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59740F0D" w14:textId="77777777" w:rsidTr="006E41CC">
        <w:trPr>
          <w:trHeight w:val="558"/>
        </w:trPr>
        <w:tc>
          <w:tcPr>
            <w:tcW w:w="4957" w:type="dxa"/>
            <w:gridSpan w:val="2"/>
            <w:vMerge/>
            <w:tcBorders>
              <w:left w:val="nil"/>
              <w:bottom w:val="nil"/>
            </w:tcBorders>
          </w:tcPr>
          <w:p w14:paraId="3240C602" w14:textId="77777777" w:rsidR="00743013" w:rsidRDefault="00743013" w:rsidP="00743013">
            <w:pPr>
              <w:rPr>
                <w:rFonts w:ascii="Arial" w:hAnsi="Arial" w:cs="Arial"/>
                <w:bCs/>
                <w:snapToGrid w:val="0"/>
                <w:sz w:val="22"/>
                <w:szCs w:val="22"/>
              </w:rPr>
            </w:pPr>
          </w:p>
        </w:tc>
        <w:tc>
          <w:tcPr>
            <w:tcW w:w="2126" w:type="dxa"/>
          </w:tcPr>
          <w:p w14:paraId="79F904AD" w14:textId="77777777" w:rsidR="00743013" w:rsidRPr="00C03EA7" w:rsidRDefault="00743013" w:rsidP="00743013">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972" w:type="dxa"/>
          </w:tcPr>
          <w:p w14:paraId="61356BC3"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51436866" w14:textId="77777777" w:rsidTr="006E41CC">
        <w:trPr>
          <w:trHeight w:val="559"/>
        </w:trPr>
        <w:tc>
          <w:tcPr>
            <w:tcW w:w="4957" w:type="dxa"/>
            <w:gridSpan w:val="2"/>
            <w:vMerge/>
            <w:tcBorders>
              <w:left w:val="nil"/>
              <w:bottom w:val="nil"/>
            </w:tcBorders>
          </w:tcPr>
          <w:p w14:paraId="54723F30" w14:textId="77777777" w:rsidR="00743013" w:rsidRDefault="00743013" w:rsidP="00743013">
            <w:pPr>
              <w:rPr>
                <w:rFonts w:ascii="Arial" w:hAnsi="Arial" w:cs="Arial"/>
                <w:bCs/>
                <w:snapToGrid w:val="0"/>
                <w:sz w:val="22"/>
                <w:szCs w:val="22"/>
              </w:rPr>
            </w:pPr>
          </w:p>
        </w:tc>
        <w:tc>
          <w:tcPr>
            <w:tcW w:w="2126" w:type="dxa"/>
          </w:tcPr>
          <w:p w14:paraId="3DEEE9A2" w14:textId="77777777" w:rsidR="00743013" w:rsidRPr="00C03EA7" w:rsidRDefault="00743013" w:rsidP="00743013">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972" w:type="dxa"/>
          </w:tcPr>
          <w:p w14:paraId="1185B37C"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bl>
    <w:p w14:paraId="2208EE6B" w14:textId="77777777" w:rsidR="00D96356" w:rsidRPr="00FE2146" w:rsidRDefault="00D96356" w:rsidP="00D96356">
      <w:pPr>
        <w:contextualSpacing/>
        <w:rPr>
          <w:rFonts w:ascii="Arial" w:eastAsia="Cambria" w:hAnsi="Arial" w:cs="Arial"/>
          <w:b/>
          <w:sz w:val="22"/>
          <w:szCs w:val="22"/>
        </w:rPr>
      </w:pPr>
    </w:p>
    <w:p w14:paraId="4BAF3EC9" w14:textId="77777777" w:rsidR="00D96356" w:rsidRPr="00FE2146" w:rsidRDefault="00D96356" w:rsidP="00D96356">
      <w:pPr>
        <w:rPr>
          <w:rFonts w:ascii="Arial MT Lt" w:hAnsi="Arial MT Lt"/>
        </w:rPr>
      </w:pPr>
    </w:p>
    <w:p w14:paraId="1D087C8A" w14:textId="1EC046CA" w:rsidR="00D96356" w:rsidRDefault="00D96356" w:rsidP="00D96356">
      <w:pPr>
        <w:rPr>
          <w:rFonts w:ascii="Arial" w:eastAsia="Times New Roman" w:hAnsi="Arial" w:cs="Arial"/>
          <w:b/>
          <w:bCs/>
          <w:sz w:val="22"/>
          <w:szCs w:val="22"/>
          <w:lang w:val="en-GB" w:eastAsia="en-ZA"/>
        </w:rPr>
      </w:pPr>
    </w:p>
    <w:p w14:paraId="516864C3" w14:textId="2CEE5B37" w:rsidR="00743013" w:rsidRDefault="00743013" w:rsidP="00D96356">
      <w:pPr>
        <w:rPr>
          <w:rFonts w:ascii="Arial" w:eastAsia="Times New Roman" w:hAnsi="Arial" w:cs="Arial"/>
          <w:b/>
          <w:bCs/>
          <w:sz w:val="22"/>
          <w:szCs w:val="22"/>
          <w:lang w:val="en-GB" w:eastAsia="en-ZA"/>
        </w:rPr>
      </w:pPr>
    </w:p>
    <w:p w14:paraId="4F2E26AB" w14:textId="388E5838" w:rsidR="00743013" w:rsidRDefault="00743013" w:rsidP="00D96356">
      <w:pPr>
        <w:rPr>
          <w:rFonts w:ascii="Arial" w:eastAsia="Times New Roman" w:hAnsi="Arial" w:cs="Arial"/>
          <w:b/>
          <w:bCs/>
          <w:sz w:val="22"/>
          <w:szCs w:val="22"/>
          <w:lang w:val="en-GB" w:eastAsia="en-ZA"/>
        </w:rPr>
      </w:pPr>
    </w:p>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All Prices must be quoted in South African Rand, exclusive of VAT</w:t>
      </w:r>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r w:rsidRPr="00315038">
        <w:rPr>
          <w:rFonts w:ascii="Arial" w:hAnsi="Arial" w:cs="Arial"/>
          <w:bCs/>
          <w:snapToGrid w:val="0"/>
          <w:sz w:val="22"/>
          <w:szCs w:val="22"/>
        </w:rPr>
        <w:t>labour</w:t>
      </w:r>
      <w:proofErr w:type="spell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38F95BDD" w14:textId="4F1C67A2" w:rsidR="00620CAD" w:rsidRDefault="00620CAD" w:rsidP="00D96356">
      <w:pPr>
        <w:spacing w:line="360" w:lineRule="auto"/>
        <w:jc w:val="both"/>
        <w:rPr>
          <w:rFonts w:ascii="Arial" w:hAnsi="Arial" w:cs="Arial"/>
          <w:b/>
          <w:snapToGrid w:val="0"/>
          <w:sz w:val="22"/>
          <w:szCs w:val="22"/>
        </w:rPr>
      </w:pPr>
    </w:p>
    <w:p w14:paraId="0FC08EB1" w14:textId="77777777" w:rsidR="00F533F8" w:rsidRDefault="00F533F8" w:rsidP="00D96356">
      <w:pPr>
        <w:spacing w:line="360" w:lineRule="auto"/>
        <w:jc w:val="both"/>
        <w:rPr>
          <w:rFonts w:ascii="Arial" w:hAnsi="Arial" w:cs="Arial"/>
          <w:b/>
          <w:snapToGrid w:val="0"/>
          <w:sz w:val="22"/>
          <w:szCs w:val="22"/>
        </w:rPr>
      </w:pPr>
    </w:p>
    <w:p w14:paraId="03338ED7" w14:textId="573E9308" w:rsidR="00620CAD" w:rsidRDefault="00620CAD" w:rsidP="00D96356">
      <w:pPr>
        <w:spacing w:line="360" w:lineRule="auto"/>
        <w:jc w:val="both"/>
        <w:rPr>
          <w:rFonts w:ascii="Arial" w:hAnsi="Arial" w:cs="Arial"/>
          <w:b/>
          <w:snapToGrid w:val="0"/>
          <w:sz w:val="22"/>
          <w:szCs w:val="22"/>
        </w:rPr>
      </w:pPr>
    </w:p>
    <w:p w14:paraId="169B7C4A" w14:textId="65FBE950" w:rsidR="00D72884" w:rsidRDefault="00D72884" w:rsidP="00D96356">
      <w:pPr>
        <w:spacing w:line="360" w:lineRule="auto"/>
        <w:jc w:val="both"/>
        <w:rPr>
          <w:rFonts w:ascii="Arial" w:hAnsi="Arial" w:cs="Arial"/>
          <w:b/>
          <w:snapToGrid w:val="0"/>
          <w:sz w:val="22"/>
          <w:szCs w:val="22"/>
        </w:rPr>
      </w:pPr>
    </w:p>
    <w:p w14:paraId="0C329861" w14:textId="77777777" w:rsidR="00D72884" w:rsidRDefault="00D72884" w:rsidP="00D96356">
      <w:pPr>
        <w:spacing w:line="360" w:lineRule="auto"/>
        <w:jc w:val="both"/>
        <w:rPr>
          <w:rFonts w:ascii="Arial" w:hAnsi="Arial" w:cs="Arial"/>
          <w:b/>
          <w:snapToGrid w:val="0"/>
          <w:sz w:val="22"/>
          <w:szCs w:val="22"/>
        </w:rPr>
      </w:pPr>
    </w:p>
    <w:p w14:paraId="2AA702CE" w14:textId="77777777" w:rsidR="00620CAD" w:rsidRDefault="00620CAD"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279A227F"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lastRenderedPageBreak/>
        <w:t xml:space="preserve">ANNEXTURE C: CONTROL CENTRE UNITS ADDRESSES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620CAD">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bl>
    <w:p w14:paraId="50BFC463" w14:textId="77777777" w:rsidR="00620CAD" w:rsidRPr="00F533F8" w:rsidRDefault="00620CAD" w:rsidP="00620CAD">
      <w:pPr>
        <w:spacing w:line="360" w:lineRule="auto"/>
        <w:jc w:val="center"/>
        <w:rPr>
          <w:rFonts w:ascii="Arial" w:eastAsia="Calibri" w:hAnsi="Arial" w:cs="Arial"/>
          <w:b/>
          <w:bCs/>
          <w:sz w:val="20"/>
          <w:szCs w:val="20"/>
          <w:lang w:val="en-ZA"/>
        </w:rPr>
      </w:pPr>
    </w:p>
    <w:tbl>
      <w:tblPr>
        <w:tblStyle w:val="TableGrid"/>
        <w:tblW w:w="0" w:type="auto"/>
        <w:tblLook w:val="04A0" w:firstRow="1" w:lastRow="0" w:firstColumn="1" w:lastColumn="0" w:noHBand="0" w:noVBand="1"/>
      </w:tblPr>
      <w:tblGrid>
        <w:gridCol w:w="4527"/>
        <w:gridCol w:w="4528"/>
      </w:tblGrid>
      <w:tr w:rsidR="00620CAD" w:rsidRPr="00F533F8" w14:paraId="3A022829" w14:textId="77777777" w:rsidTr="00620CAD">
        <w:tc>
          <w:tcPr>
            <w:tcW w:w="4527" w:type="dxa"/>
          </w:tcPr>
          <w:p w14:paraId="01036EDF" w14:textId="63BC254C"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King Shaka International Airport</w:t>
            </w:r>
          </w:p>
        </w:tc>
        <w:tc>
          <w:tcPr>
            <w:tcW w:w="4528" w:type="dxa"/>
          </w:tcPr>
          <w:p w14:paraId="7BC119A7" w14:textId="5489B8B1" w:rsidR="00620CAD" w:rsidRPr="00F533F8" w:rsidRDefault="00D72884"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rPr>
              <w:t>ATNS</w:t>
            </w:r>
            <w:r w:rsidR="00620CAD" w:rsidRPr="00F533F8">
              <w:rPr>
                <w:rFonts w:ascii="Arial" w:eastAsia="Calibri" w:hAnsi="Arial" w:cs="Arial"/>
                <w:b/>
                <w:bCs/>
                <w:sz w:val="20"/>
                <w:szCs w:val="20"/>
              </w:rPr>
              <w:t xml:space="preserve"> Control Tower</w:t>
            </w:r>
            <w:r>
              <w:rPr>
                <w:rFonts w:ascii="Arial" w:eastAsia="Calibri" w:hAnsi="Arial" w:cs="Arial"/>
                <w:b/>
                <w:bCs/>
                <w:sz w:val="20"/>
                <w:szCs w:val="20"/>
              </w:rPr>
              <w:t xml:space="preserve"> Centre</w:t>
            </w:r>
            <w:r w:rsidR="00620CAD" w:rsidRPr="00F533F8">
              <w:rPr>
                <w:rFonts w:ascii="Arial" w:eastAsia="Calibri" w:hAnsi="Arial" w:cs="Arial"/>
                <w:b/>
                <w:bCs/>
                <w:sz w:val="20"/>
                <w:szCs w:val="20"/>
              </w:rPr>
              <w:t>, International Trade Avenue, King Shaka International Airport, Tongaat 4407</w:t>
            </w:r>
          </w:p>
        </w:tc>
      </w:tr>
    </w:tbl>
    <w:p w14:paraId="1DFEA7BD" w14:textId="3772F8CE" w:rsidR="00C54AFF" w:rsidRPr="00F533F8" w:rsidRDefault="00C54AFF"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br w:type="page"/>
      </w: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lastRenderedPageBreak/>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6" w:name="_Toc395209386"/>
      <w:bookmarkStart w:id="7"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in order to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28E1DE6B"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7C1E6F3B"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369E2BC3"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6D019F18" w14:textId="77777777" w:rsidR="00C54AFF" w:rsidRPr="00C54AFF" w:rsidRDefault="00C54AFF" w:rsidP="00C54AFF">
      <w:pPr>
        <w:rPr>
          <w:rFonts w:ascii="Arial" w:eastAsia="Times New Roman" w:hAnsi="Arial" w:cs="Arial"/>
          <w:b/>
          <w:sz w:val="22"/>
          <w:szCs w:val="22"/>
        </w:rPr>
      </w:pPr>
      <w:r w:rsidRPr="00C54AFF">
        <w:rPr>
          <w:rFonts w:ascii="Arial" w:eastAsia="Times New Roman" w:hAnsi="Arial" w:cs="Arial"/>
          <w:b/>
          <w:sz w:val="22"/>
          <w:szCs w:val="22"/>
        </w:rPr>
        <w:br w:type="page"/>
      </w: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8" w:name="_Hlk125020906"/>
            <w:r w:rsidRPr="00C54AFF">
              <w:rPr>
                <w:rFonts w:ascii="Arial" w:eastAsia="Times New Roman" w:hAnsi="Arial" w:cs="Arial"/>
                <w:b/>
                <w:sz w:val="22"/>
                <w:szCs w:val="22"/>
              </w:rPr>
              <w:t>ATNS SPECIFIC GOALS</w:t>
            </w:r>
            <w:bookmarkEnd w:id="8"/>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6"/>
    <w:bookmarkEnd w:id="7"/>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5D338D1F" w14:textId="2701902B" w:rsidR="00C54AFF"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2048403" w14:textId="77777777" w:rsidR="007B2900" w:rsidRPr="00C54AFF" w:rsidRDefault="007B2900" w:rsidP="00C54AFF">
      <w:pPr>
        <w:autoSpaceDE w:val="0"/>
        <w:autoSpaceDN w:val="0"/>
        <w:adjustRightInd w:val="0"/>
        <w:spacing w:line="360" w:lineRule="auto"/>
        <w:jc w:val="both"/>
        <w:rPr>
          <w:rFonts w:ascii="Arial" w:hAnsi="Arial" w:cs="Arial"/>
          <w:sz w:val="22"/>
          <w:szCs w:val="22"/>
          <w:lang w:val="en-GB"/>
        </w:rPr>
      </w:pPr>
    </w:p>
    <w:p w14:paraId="1DB9B927" w14:textId="77777777" w:rsidR="00C54AFF" w:rsidRPr="00C54AFF" w:rsidRDefault="00C54AFF"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6EB123F6"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1CBD8357" w14:textId="77777777" w:rsidR="00C54AFF" w:rsidRPr="00C54AFF" w:rsidRDefault="00C54AFF" w:rsidP="00C54AFF">
      <w:pPr>
        <w:spacing w:line="360" w:lineRule="auto"/>
        <w:jc w:val="both"/>
        <w:rPr>
          <w:rFonts w:ascii="Arial" w:hAnsi="Arial" w:cs="Arial"/>
          <w:sz w:val="22"/>
          <w:szCs w:val="22"/>
          <w:lang w:val="en-ZA"/>
        </w:rPr>
      </w:pP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5D87932F" w:rsidR="00C54AFF" w:rsidRPr="00C54AFF" w:rsidRDefault="00B747AB"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B747AB">
              <w:rPr>
                <w:rFonts w:ascii="Arial" w:hAnsi="Arial" w:cs="Arial"/>
                <w:sz w:val="16"/>
                <w:szCs w:val="16"/>
                <w:lang w:val="en-GB"/>
              </w:rPr>
              <w:t>ATNS/FALE/RFQ017/03/07/2022/2023</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2077A9B0" w:rsidR="00C54AFF" w:rsidRPr="00C54AFF" w:rsidRDefault="002E4577"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14</w:t>
            </w:r>
            <w:r w:rsidR="00B11C8E">
              <w:rPr>
                <w:rFonts w:ascii="Arial" w:hAnsi="Arial" w:cs="Arial"/>
                <w:sz w:val="16"/>
                <w:szCs w:val="16"/>
                <w:lang w:val="en-GB"/>
              </w:rPr>
              <w:t xml:space="preserve"> </w:t>
            </w:r>
            <w:r w:rsidR="00B747AB">
              <w:rPr>
                <w:rFonts w:ascii="Arial" w:hAnsi="Arial" w:cs="Arial"/>
                <w:sz w:val="16"/>
                <w:szCs w:val="16"/>
                <w:lang w:val="en-GB"/>
              </w:rPr>
              <w:t>March</w:t>
            </w:r>
            <w:r w:rsidR="00B11C8E">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12A400AF"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8F6314">
              <w:rPr>
                <w:rFonts w:ascii="Arial" w:hAnsi="Arial" w:cs="Arial"/>
                <w:sz w:val="16"/>
                <w:szCs w:val="16"/>
                <w:lang w:val="en-GB"/>
              </w:rPr>
              <w:t>5</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2CE4D213" w:rsidR="00C54AFF" w:rsidRPr="00C54AFF" w:rsidRDefault="008D7D9E"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8D7D9E">
              <w:rPr>
                <w:rFonts w:ascii="Arial" w:hAnsi="Arial" w:cs="Arial"/>
                <w:sz w:val="16"/>
                <w:szCs w:val="16"/>
                <w:lang w:val="en-GB"/>
              </w:rPr>
              <w:t>Appointment of a</w:t>
            </w:r>
            <w:r w:rsidR="00DA7A14">
              <w:rPr>
                <w:rFonts w:ascii="Arial" w:hAnsi="Arial" w:cs="Arial"/>
                <w:sz w:val="16"/>
                <w:szCs w:val="16"/>
                <w:lang w:val="en-GB"/>
              </w:rPr>
              <w:t xml:space="preserve"> suitable</w:t>
            </w:r>
            <w:r w:rsidRPr="008D7D9E">
              <w:rPr>
                <w:rFonts w:ascii="Arial" w:hAnsi="Arial" w:cs="Arial"/>
                <w:sz w:val="16"/>
                <w:szCs w:val="16"/>
                <w:lang w:val="en-GB"/>
              </w:rPr>
              <w:t xml:space="preserve"> service provider for the supply</w:t>
            </w:r>
            <w:r w:rsidR="00DA7A14">
              <w:rPr>
                <w:rFonts w:ascii="Arial" w:hAnsi="Arial" w:cs="Arial"/>
                <w:sz w:val="16"/>
                <w:szCs w:val="16"/>
                <w:lang w:val="en-GB"/>
              </w:rPr>
              <w:t xml:space="preserve"> and </w:t>
            </w:r>
            <w:proofErr w:type="gramStart"/>
            <w:r w:rsidRPr="008D7D9E">
              <w:rPr>
                <w:rFonts w:ascii="Arial" w:hAnsi="Arial" w:cs="Arial"/>
                <w:sz w:val="16"/>
                <w:szCs w:val="16"/>
                <w:lang w:val="en-GB"/>
              </w:rPr>
              <w:t xml:space="preserve">delivery  </w:t>
            </w:r>
            <w:r w:rsidR="00DA7A14">
              <w:rPr>
                <w:rFonts w:ascii="Arial" w:hAnsi="Arial" w:cs="Arial"/>
                <w:sz w:val="16"/>
                <w:szCs w:val="16"/>
                <w:lang w:val="en-GB"/>
              </w:rPr>
              <w:t>of</w:t>
            </w:r>
            <w:proofErr w:type="gramEnd"/>
            <w:r w:rsidR="00DA7A14">
              <w:rPr>
                <w:rFonts w:ascii="Arial" w:hAnsi="Arial" w:cs="Arial"/>
                <w:sz w:val="16"/>
                <w:szCs w:val="16"/>
                <w:lang w:val="en-GB"/>
              </w:rPr>
              <w:t xml:space="preserve"> </w:t>
            </w:r>
            <w:r w:rsidR="00B747AB">
              <w:rPr>
                <w:rFonts w:ascii="Arial" w:hAnsi="Arial" w:cs="Arial"/>
                <w:sz w:val="16"/>
                <w:szCs w:val="16"/>
                <w:lang w:val="en-GB"/>
              </w:rPr>
              <w:t>Batteries</w:t>
            </w:r>
            <w:r w:rsidR="00DA7A14">
              <w:rPr>
                <w:rFonts w:ascii="Arial" w:hAnsi="Arial" w:cs="Arial"/>
                <w:sz w:val="16"/>
                <w:szCs w:val="16"/>
                <w:lang w:val="en-GB"/>
              </w:rPr>
              <w:t xml:space="preserve"> </w:t>
            </w:r>
            <w:r w:rsidRPr="008D7D9E">
              <w:rPr>
                <w:rFonts w:ascii="Arial" w:hAnsi="Arial" w:cs="Arial"/>
                <w:sz w:val="16"/>
                <w:szCs w:val="16"/>
                <w:lang w:val="en-GB"/>
              </w:rPr>
              <w:t xml:space="preserve">at ATNS </w:t>
            </w:r>
            <w:r w:rsidR="00DA7A14">
              <w:rPr>
                <w:rFonts w:ascii="Arial" w:hAnsi="Arial" w:cs="Arial"/>
                <w:sz w:val="16"/>
                <w:szCs w:val="16"/>
                <w:lang w:val="en-GB"/>
              </w:rPr>
              <w:t>–</w:t>
            </w:r>
            <w:r w:rsidRPr="008D7D9E">
              <w:rPr>
                <w:rFonts w:ascii="Arial" w:hAnsi="Arial" w:cs="Arial"/>
                <w:sz w:val="16"/>
                <w:szCs w:val="16"/>
                <w:lang w:val="en-GB"/>
              </w:rPr>
              <w:t xml:space="preserve"> </w:t>
            </w:r>
            <w:r w:rsidR="00DA7A14">
              <w:rPr>
                <w:rFonts w:ascii="Arial" w:hAnsi="Arial" w:cs="Arial"/>
                <w:sz w:val="16"/>
                <w:szCs w:val="16"/>
                <w:lang w:val="en-GB"/>
              </w:rPr>
              <w:t>King Shaka</w:t>
            </w:r>
            <w:r w:rsidRPr="008D7D9E">
              <w:rPr>
                <w:rFonts w:ascii="Arial" w:hAnsi="Arial" w:cs="Arial"/>
                <w:sz w:val="16"/>
                <w:szCs w:val="16"/>
                <w:lang w:val="en-GB"/>
              </w:rPr>
              <w:t xml:space="preserve"> International Airport</w:t>
            </w:r>
            <w:r w:rsidR="00DA7A14">
              <w:rPr>
                <w:rFonts w:ascii="Arial" w:hAnsi="Arial" w:cs="Arial"/>
                <w:sz w:val="16"/>
                <w:szCs w:val="16"/>
                <w:lang w:val="en-GB"/>
              </w:rPr>
              <w:t>-FALE.</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8"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9"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9"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9"/>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0"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0"/>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1" w:name="_Hlk117764996"/>
      <w:r w:rsidRPr="00C54AFF">
        <w:rPr>
          <w:rFonts w:ascii="Arial" w:eastAsia="Times New Roman" w:hAnsi="Arial" w:cs="Arial"/>
          <w:snapToGrid w:val="0"/>
          <w:sz w:val="22"/>
          <w:szCs w:val="22"/>
          <w:lang w:val="en-GB"/>
        </w:rPr>
        <w:sym w:font="Symbol" w:char="F07F"/>
      </w:r>
      <w:bookmarkEnd w:id="11"/>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10"/>
      <w:footerReference w:type="default" r:id="rId11"/>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D469" w14:textId="77777777" w:rsidR="009C349F" w:rsidRDefault="009C349F" w:rsidP="0098671E">
      <w:r>
        <w:separator/>
      </w:r>
    </w:p>
  </w:endnote>
  <w:endnote w:type="continuationSeparator" w:id="0">
    <w:p w14:paraId="1221BA6E" w14:textId="77777777" w:rsidR="009C349F" w:rsidRDefault="009C349F"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7AFC4F77" w:rsidR="00AD48CC" w:rsidRPr="00C54AFF" w:rsidRDefault="00785B2C" w:rsidP="00C806AD">
          <w:pPr>
            <w:pStyle w:val="Footer"/>
            <w:jc w:val="center"/>
            <w:rPr>
              <w:rFonts w:ascii="Arial" w:hAnsi="Arial" w:cs="Arial"/>
              <w:sz w:val="18"/>
              <w:szCs w:val="14"/>
            </w:rPr>
          </w:pPr>
          <w:r w:rsidRPr="00785B2C">
            <w:rPr>
              <w:rFonts w:ascii="Arial" w:hAnsi="Arial" w:cs="Arial"/>
              <w:sz w:val="18"/>
              <w:szCs w:val="14"/>
            </w:rPr>
            <w:t>ATNS/FALE/RFQ017/03/07/2022/2023</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0770F6CB" w:rsidR="00AD48CC" w:rsidRPr="00C54AFF" w:rsidRDefault="002E4577"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0</w:t>
          </w:r>
          <w:r w:rsidR="00785B2C">
            <w:rPr>
              <w:rFonts w:ascii="Arial" w:hAnsi="Arial" w:cs="Arial"/>
              <w:sz w:val="18"/>
              <w:szCs w:val="14"/>
            </w:rPr>
            <w:t>7</w:t>
          </w:r>
          <w:r w:rsidR="00743013">
            <w:rPr>
              <w:rFonts w:ascii="Arial" w:hAnsi="Arial" w:cs="Arial"/>
              <w:sz w:val="18"/>
              <w:szCs w:val="14"/>
            </w:rPr>
            <w:t xml:space="preserve"> </w:t>
          </w:r>
          <w:r w:rsidR="00785B2C">
            <w:rPr>
              <w:rFonts w:ascii="Arial" w:hAnsi="Arial" w:cs="Arial"/>
              <w:sz w:val="18"/>
              <w:szCs w:val="14"/>
            </w:rPr>
            <w:t>March</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6F14" w14:textId="77777777" w:rsidR="009C349F" w:rsidRDefault="009C349F" w:rsidP="0098671E">
      <w:r>
        <w:separator/>
      </w:r>
    </w:p>
  </w:footnote>
  <w:footnote w:type="continuationSeparator" w:id="0">
    <w:p w14:paraId="06A7B450" w14:textId="77777777" w:rsidR="009C349F" w:rsidRDefault="009C349F"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D3FA6"/>
    <w:multiLevelType w:val="hybridMultilevel"/>
    <w:tmpl w:val="4E5A671A"/>
    <w:lvl w:ilvl="0" w:tplc="B7F83B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1"/>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3"/>
  </w:num>
  <w:num w:numId="9" w16cid:durableId="268657405">
    <w:abstractNumId w:val="5"/>
  </w:num>
  <w:num w:numId="10" w16cid:durableId="897280017">
    <w:abstractNumId w:val="2"/>
  </w:num>
  <w:num w:numId="11" w16cid:durableId="292487278">
    <w:abstractNumId w:val="22"/>
  </w:num>
  <w:num w:numId="12" w16cid:durableId="839469947">
    <w:abstractNumId w:val="25"/>
  </w:num>
  <w:num w:numId="13" w16cid:durableId="51271352">
    <w:abstractNumId w:val="0"/>
  </w:num>
  <w:num w:numId="14" w16cid:durableId="575895284">
    <w:abstractNumId w:val="7"/>
  </w:num>
  <w:num w:numId="15" w16cid:durableId="1375882268">
    <w:abstractNumId w:val="26"/>
  </w:num>
  <w:num w:numId="16" w16cid:durableId="230359480">
    <w:abstractNumId w:val="10"/>
  </w:num>
  <w:num w:numId="17" w16cid:durableId="374475298">
    <w:abstractNumId w:val="11"/>
  </w:num>
  <w:num w:numId="18" w16cid:durableId="1872762774">
    <w:abstractNumId w:val="8"/>
  </w:num>
  <w:num w:numId="19" w16cid:durableId="141775431">
    <w:abstractNumId w:val="19"/>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8"/>
  </w:num>
  <w:num w:numId="25" w16cid:durableId="1286079794">
    <w:abstractNumId w:val="24"/>
  </w:num>
  <w:num w:numId="26" w16cid:durableId="146821503">
    <w:abstractNumId w:val="20"/>
  </w:num>
  <w:num w:numId="27" w16cid:durableId="909462118">
    <w:abstractNumId w:val="3"/>
  </w:num>
  <w:num w:numId="28" w16cid:durableId="1867399716">
    <w:abstractNumId w:val="9"/>
  </w:num>
  <w:num w:numId="29" w16cid:durableId="95239518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40175"/>
    <w:rsid w:val="000845A1"/>
    <w:rsid w:val="00093C6E"/>
    <w:rsid w:val="000A722B"/>
    <w:rsid w:val="000F125C"/>
    <w:rsid w:val="00120C1B"/>
    <w:rsid w:val="00127685"/>
    <w:rsid w:val="00130471"/>
    <w:rsid w:val="001530D4"/>
    <w:rsid w:val="00167E74"/>
    <w:rsid w:val="00170D81"/>
    <w:rsid w:val="001869C5"/>
    <w:rsid w:val="001A57C2"/>
    <w:rsid w:val="001C1B9F"/>
    <w:rsid w:val="001C5ECC"/>
    <w:rsid w:val="001D487B"/>
    <w:rsid w:val="001D59A1"/>
    <w:rsid w:val="00212DDC"/>
    <w:rsid w:val="00225B5E"/>
    <w:rsid w:val="00230E76"/>
    <w:rsid w:val="002372E9"/>
    <w:rsid w:val="00264790"/>
    <w:rsid w:val="00286085"/>
    <w:rsid w:val="00297362"/>
    <w:rsid w:val="002A34DE"/>
    <w:rsid w:val="002E4577"/>
    <w:rsid w:val="002F5939"/>
    <w:rsid w:val="003139B6"/>
    <w:rsid w:val="003222B1"/>
    <w:rsid w:val="00326F3B"/>
    <w:rsid w:val="0033689D"/>
    <w:rsid w:val="003C251B"/>
    <w:rsid w:val="003D20B9"/>
    <w:rsid w:val="003D3EC4"/>
    <w:rsid w:val="003D6D66"/>
    <w:rsid w:val="003E1146"/>
    <w:rsid w:val="004006DE"/>
    <w:rsid w:val="00425CB1"/>
    <w:rsid w:val="00452EC0"/>
    <w:rsid w:val="00456FB1"/>
    <w:rsid w:val="00461908"/>
    <w:rsid w:val="00485397"/>
    <w:rsid w:val="004A2100"/>
    <w:rsid w:val="004D4527"/>
    <w:rsid w:val="004D4A60"/>
    <w:rsid w:val="00535088"/>
    <w:rsid w:val="0056198E"/>
    <w:rsid w:val="005A06A6"/>
    <w:rsid w:val="005A5C0E"/>
    <w:rsid w:val="005D320F"/>
    <w:rsid w:val="005D39BD"/>
    <w:rsid w:val="005E2A00"/>
    <w:rsid w:val="00620CAD"/>
    <w:rsid w:val="0064472A"/>
    <w:rsid w:val="006B370C"/>
    <w:rsid w:val="006D3DB2"/>
    <w:rsid w:val="006D7FB3"/>
    <w:rsid w:val="00700B7E"/>
    <w:rsid w:val="00711666"/>
    <w:rsid w:val="007370B2"/>
    <w:rsid w:val="00743013"/>
    <w:rsid w:val="00743583"/>
    <w:rsid w:val="00772AB4"/>
    <w:rsid w:val="00785B2C"/>
    <w:rsid w:val="007A51CF"/>
    <w:rsid w:val="007B2900"/>
    <w:rsid w:val="007F13BA"/>
    <w:rsid w:val="0081327E"/>
    <w:rsid w:val="008366F0"/>
    <w:rsid w:val="00852D4A"/>
    <w:rsid w:val="00856A42"/>
    <w:rsid w:val="008D7D9E"/>
    <w:rsid w:val="008F6314"/>
    <w:rsid w:val="00902982"/>
    <w:rsid w:val="009261B6"/>
    <w:rsid w:val="009305AD"/>
    <w:rsid w:val="00946E82"/>
    <w:rsid w:val="009838B1"/>
    <w:rsid w:val="0098671E"/>
    <w:rsid w:val="009A542E"/>
    <w:rsid w:val="009C349F"/>
    <w:rsid w:val="009D0353"/>
    <w:rsid w:val="00A537D1"/>
    <w:rsid w:val="00A922C0"/>
    <w:rsid w:val="00AC1C9F"/>
    <w:rsid w:val="00AD3018"/>
    <w:rsid w:val="00AD48CC"/>
    <w:rsid w:val="00AD6832"/>
    <w:rsid w:val="00AF15FB"/>
    <w:rsid w:val="00B11C8E"/>
    <w:rsid w:val="00B123A8"/>
    <w:rsid w:val="00B34B47"/>
    <w:rsid w:val="00B747AB"/>
    <w:rsid w:val="00B76890"/>
    <w:rsid w:val="00B87863"/>
    <w:rsid w:val="00B9659C"/>
    <w:rsid w:val="00B96D70"/>
    <w:rsid w:val="00BF3ECE"/>
    <w:rsid w:val="00C018F8"/>
    <w:rsid w:val="00C04EBD"/>
    <w:rsid w:val="00C07D9D"/>
    <w:rsid w:val="00C14EAD"/>
    <w:rsid w:val="00C35AFE"/>
    <w:rsid w:val="00C37069"/>
    <w:rsid w:val="00C47D32"/>
    <w:rsid w:val="00C54AFF"/>
    <w:rsid w:val="00C63609"/>
    <w:rsid w:val="00C71DC6"/>
    <w:rsid w:val="00C806AD"/>
    <w:rsid w:val="00C90751"/>
    <w:rsid w:val="00CB62BA"/>
    <w:rsid w:val="00D46FA0"/>
    <w:rsid w:val="00D72884"/>
    <w:rsid w:val="00D96356"/>
    <w:rsid w:val="00DA7A14"/>
    <w:rsid w:val="00DD58FF"/>
    <w:rsid w:val="00E14DE7"/>
    <w:rsid w:val="00E34D51"/>
    <w:rsid w:val="00E36AF5"/>
    <w:rsid w:val="00E40CB7"/>
    <w:rsid w:val="00E61BE7"/>
    <w:rsid w:val="00E7307A"/>
    <w:rsid w:val="00E81D3E"/>
    <w:rsid w:val="00EA235B"/>
    <w:rsid w:val="00EF34DE"/>
    <w:rsid w:val="00EF7F44"/>
    <w:rsid w:val="00F16DEB"/>
    <w:rsid w:val="00F33D3C"/>
    <w:rsid w:val="00F533F8"/>
    <w:rsid w:val="00F53BD7"/>
    <w:rsid w:val="00F80280"/>
    <w:rsid w:val="00F82BCA"/>
    <w:rsid w:val="00FB3DFF"/>
    <w:rsid w:val="00FC010C"/>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tem@atn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3</cp:revision>
  <cp:lastPrinted>2023-02-08T11:12:00Z</cp:lastPrinted>
  <dcterms:created xsi:type="dcterms:W3CDTF">2023-03-07T10:44:00Z</dcterms:created>
  <dcterms:modified xsi:type="dcterms:W3CDTF">2023-03-07T11:12:00Z</dcterms:modified>
</cp:coreProperties>
</file>