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273C" w14:textId="77777777" w:rsidR="00F638F1" w:rsidRDefault="00F638F1" w:rsidP="00F638F1">
      <w:pPr>
        <w:jc w:val="center"/>
        <w:rPr>
          <w:rFonts w:ascii="Arial" w:hAnsi="Arial" w:cs="Arial"/>
          <w:b/>
        </w:rPr>
      </w:pPr>
      <w:bookmarkStart w:id="0" w:name="_Hlk23861611"/>
      <w:r w:rsidRPr="00645D38">
        <w:rPr>
          <w:rFonts w:ascii="Arial" w:hAnsi="Arial" w:cs="Arial"/>
          <w:b/>
        </w:rPr>
        <w:t>APPOINTMENT OF AN EXPERIENCED SERVICE PROVIDER FOR SUPPLY, DELIVERY, INSTALLATION, COMMISSION AND</w:t>
      </w:r>
      <w:r>
        <w:rPr>
          <w:rFonts w:ascii="Arial" w:hAnsi="Arial" w:cs="Arial"/>
          <w:b/>
        </w:rPr>
        <w:t xml:space="preserve"> 10 YEARS</w:t>
      </w:r>
      <w:r w:rsidRPr="00645D38">
        <w:rPr>
          <w:rFonts w:ascii="Arial" w:hAnsi="Arial" w:cs="Arial"/>
          <w:b/>
        </w:rPr>
        <w:t xml:space="preserve"> SUPPORT OF AN ELECTRONIC SECURITY SYSTEM, ALARM MONITORING AND ARMED RESPONSE AT THE ATNS HEAD OFFICE BUILDING </w:t>
      </w:r>
      <w:r>
        <w:rPr>
          <w:rFonts w:ascii="Arial" w:hAnsi="Arial" w:cs="Arial"/>
          <w:b/>
        </w:rPr>
        <w:t xml:space="preserve">IN </w:t>
      </w:r>
      <w:r w:rsidRPr="00645D38">
        <w:rPr>
          <w:rFonts w:ascii="Arial" w:hAnsi="Arial" w:cs="Arial"/>
          <w:b/>
        </w:rPr>
        <w:t>BRUMA</w:t>
      </w:r>
    </w:p>
    <w:p w14:paraId="794EF78B" w14:textId="77777777" w:rsidR="00F638F1" w:rsidRDefault="00F638F1" w:rsidP="00F638F1">
      <w:pPr>
        <w:jc w:val="center"/>
        <w:rPr>
          <w:rFonts w:ascii="Arial" w:hAnsi="Arial" w:cs="Arial"/>
          <w:b/>
        </w:rPr>
      </w:pPr>
    </w:p>
    <w:p w14:paraId="657B8C06" w14:textId="77777777" w:rsidR="00F638F1" w:rsidRPr="00E22D23" w:rsidRDefault="00F638F1" w:rsidP="00F638F1">
      <w:pPr>
        <w:jc w:val="center"/>
        <w:rPr>
          <w:rFonts w:ascii="Arial" w:hAnsi="Arial" w:cs="Arial"/>
          <w:b/>
        </w:rPr>
      </w:pPr>
      <w:r w:rsidRPr="00E22D23">
        <w:rPr>
          <w:rFonts w:ascii="Arial" w:hAnsi="Arial" w:cs="Arial"/>
          <w:b/>
          <w:bCs/>
        </w:rPr>
        <w:t xml:space="preserve">REQUEST FOR PROPOSAL: </w:t>
      </w:r>
      <w:r w:rsidRPr="006F0526">
        <w:rPr>
          <w:rFonts w:ascii="Arial" w:hAnsi="Arial" w:cs="Arial"/>
          <w:b/>
        </w:rPr>
        <w:t>ATNS/ RFP036/FY22.23/ELECTRONIC SECURITY</w:t>
      </w:r>
      <w:r w:rsidRPr="006F0526">
        <w:rPr>
          <w:rFonts w:ascii="Arial" w:hAnsi="Arial" w:cs="Arial"/>
          <w:b/>
          <w:bCs/>
          <w:sz w:val="12"/>
          <w:szCs w:val="12"/>
        </w:rPr>
        <w:t xml:space="preserve"> </w:t>
      </w:r>
      <w:r w:rsidRPr="006F0526">
        <w:rPr>
          <w:rFonts w:ascii="Arial" w:hAnsi="Arial" w:cs="Arial"/>
          <w:b/>
        </w:rPr>
        <w:t>SYSTEM, ALARM MONITORING AND ARMED RESPONSE</w:t>
      </w:r>
    </w:p>
    <w:bookmarkEnd w:id="0"/>
    <w:p w14:paraId="4782A281" w14:textId="54E0527B" w:rsidR="00D94B08" w:rsidRPr="0045167B" w:rsidRDefault="00D94B08" w:rsidP="00F638F1">
      <w:pPr>
        <w:spacing w:before="100" w:beforeAutospacing="1" w:after="240" w:line="360" w:lineRule="auto"/>
        <w:ind w:left="2880" w:firstLine="720"/>
        <w:jc w:val="both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45167B">
        <w:rPr>
          <w:rFonts w:ascii="Arial" w:eastAsia="Times New Roman" w:hAnsi="Arial" w:cs="Arial"/>
          <w:b/>
          <w:bCs/>
          <w:sz w:val="22"/>
          <w:szCs w:val="22"/>
        </w:rPr>
        <w:t>P</w:t>
      </w:r>
      <w:bookmarkStart w:id="1" w:name="_Toc32415559"/>
      <w:r w:rsidRPr="0045167B">
        <w:rPr>
          <w:rFonts w:ascii="Arial" w:eastAsia="Times New Roman" w:hAnsi="Arial" w:cs="Arial"/>
          <w:b/>
          <w:bCs/>
          <w:sz w:val="22"/>
          <w:szCs w:val="22"/>
        </w:rPr>
        <w:t>RICING SCHEDULE</w:t>
      </w:r>
      <w:bookmarkEnd w:id="1"/>
      <w:r w:rsidRPr="0045167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79A10CE5" w14:textId="1B171595" w:rsidR="00D94B08" w:rsidRPr="0045167B" w:rsidRDefault="00D94B08" w:rsidP="00D94B08">
      <w:pPr>
        <w:spacing w:after="120" w:line="360" w:lineRule="auto"/>
        <w:jc w:val="both"/>
        <w:rPr>
          <w:rFonts w:ascii="Arial" w:eastAsia="Times New Roman" w:hAnsi="Arial" w:cs="Arial"/>
          <w:color w:val="212121"/>
          <w:sz w:val="22"/>
          <w:szCs w:val="22"/>
        </w:rPr>
      </w:pPr>
    </w:p>
    <w:p w14:paraId="3278ABD2" w14:textId="7CB95901" w:rsidR="00D94B08" w:rsidRPr="0045167B" w:rsidRDefault="00D94B08" w:rsidP="00D94B08">
      <w:pPr>
        <w:tabs>
          <w:tab w:val="left" w:pos="85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5167B">
        <w:rPr>
          <w:rFonts w:ascii="Arial" w:hAnsi="Arial" w:cs="Arial"/>
          <w:b/>
          <w:color w:val="FF0000"/>
          <w:sz w:val="22"/>
          <w:szCs w:val="22"/>
          <w:u w:val="single"/>
        </w:rPr>
        <w:t>Price Proposal</w:t>
      </w:r>
    </w:p>
    <w:p w14:paraId="6D98738C" w14:textId="77777777" w:rsidR="00D94B08" w:rsidRPr="0045167B" w:rsidRDefault="00D94B08" w:rsidP="00D94B08">
      <w:pPr>
        <w:tabs>
          <w:tab w:val="left" w:pos="851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7D88C27" w14:textId="77777777" w:rsidR="00AB4FE9" w:rsidRPr="0045167B" w:rsidRDefault="00AB4FE9" w:rsidP="0045167B">
      <w:pPr>
        <w:jc w:val="both"/>
        <w:rPr>
          <w:rFonts w:ascii="Arial" w:hAnsi="Arial" w:cs="Arial"/>
          <w:b/>
          <w:bCs/>
          <w:color w:val="000000" w:themeColor="text1"/>
        </w:rPr>
      </w:pPr>
      <w:r w:rsidRPr="0045167B"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435A704F" wp14:editId="7F937032">
            <wp:simplePos x="0" y="0"/>
            <wp:positionH relativeFrom="column">
              <wp:posOffset>3181350</wp:posOffset>
            </wp:positionH>
            <wp:positionV relativeFrom="paragraph">
              <wp:posOffset>77470</wp:posOffset>
            </wp:positionV>
            <wp:extent cx="18415" cy="18415"/>
            <wp:effectExtent l="0" t="1270" r="635" b="0"/>
            <wp:wrapNone/>
            <wp:docPr id="2" name="In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18415" cy="18415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67B"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 wp14:anchorId="564424C6" wp14:editId="0F43AE74">
            <wp:simplePos x="0" y="0"/>
            <wp:positionH relativeFrom="column">
              <wp:posOffset>1493520</wp:posOffset>
            </wp:positionH>
            <wp:positionV relativeFrom="paragraph">
              <wp:posOffset>241300</wp:posOffset>
            </wp:positionV>
            <wp:extent cx="18415" cy="18415"/>
            <wp:effectExtent l="0" t="3175" r="2540" b="0"/>
            <wp:wrapNone/>
            <wp:docPr id="11" name="In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18415" cy="18415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67B">
        <w:rPr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3288488C" wp14:editId="3153E360">
            <wp:simplePos x="0" y="0"/>
            <wp:positionH relativeFrom="column">
              <wp:posOffset>1470025</wp:posOffset>
            </wp:positionH>
            <wp:positionV relativeFrom="paragraph">
              <wp:posOffset>311785</wp:posOffset>
            </wp:positionV>
            <wp:extent cx="18415" cy="18415"/>
            <wp:effectExtent l="3175" t="0" r="0" b="3175"/>
            <wp:wrapNone/>
            <wp:docPr id="12" name="In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18415" cy="18415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67B">
        <w:rPr>
          <w:rFonts w:ascii="Arial" w:hAnsi="Arial" w:cs="Arial"/>
          <w:b/>
          <w:bCs/>
          <w:color w:val="000000" w:themeColor="text1"/>
        </w:rPr>
        <w:t>Price Schedule/Security staff to be posted at the following areas (pricing schedule submitted in a separate Envelope: “Pricing Schedule”)</w:t>
      </w:r>
    </w:p>
    <w:p w14:paraId="29858E4F" w14:textId="77777777" w:rsidR="00AB4FE9" w:rsidRPr="0045167B" w:rsidRDefault="00AB4FE9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B133E3" w14:textId="77777777" w:rsidR="00AB4FE9" w:rsidRPr="0045167B" w:rsidRDefault="00AB4FE9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7B">
        <w:rPr>
          <w:rFonts w:ascii="Arial" w:hAnsi="Arial" w:cs="Arial"/>
          <w:b/>
          <w:bCs/>
          <w:color w:val="000000" w:themeColor="text1"/>
          <w:sz w:val="22"/>
          <w:szCs w:val="22"/>
        </w:rPr>
        <w:t>Year 0 (Warranty period)</w:t>
      </w:r>
    </w:p>
    <w:tbl>
      <w:tblPr>
        <w:tblpPr w:leftFromText="180" w:rightFromText="180" w:bottomFromText="160" w:vertAnchor="text" w:horzAnchor="margin" w:tblpY="180"/>
        <w:tblW w:w="493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120"/>
        <w:gridCol w:w="1156"/>
        <w:gridCol w:w="4716"/>
      </w:tblGrid>
      <w:tr w:rsidR="00AB4FE9" w:rsidRPr="0045167B" w14:paraId="089C8710" w14:textId="77777777" w:rsidTr="00996152">
        <w:trPr>
          <w:trHeight w:val="518"/>
        </w:trPr>
        <w:tc>
          <w:tcPr>
            <w:tcW w:w="957" w:type="pct"/>
            <w:vAlign w:val="center"/>
            <w:hideMark/>
          </w:tcPr>
          <w:p w14:paraId="40202E0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bookmarkStart w:id="2" w:name="_Hlk13567922"/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>Description</w:t>
            </w:r>
          </w:p>
        </w:tc>
        <w:tc>
          <w:tcPr>
            <w:tcW w:w="671" w:type="pct"/>
            <w:vAlign w:val="center"/>
            <w:hideMark/>
          </w:tcPr>
          <w:p w14:paraId="2D91D274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>Unit Price</w:t>
            </w:r>
          </w:p>
        </w:tc>
        <w:tc>
          <w:tcPr>
            <w:tcW w:w="691" w:type="pct"/>
            <w:vAlign w:val="center"/>
            <w:hideMark/>
          </w:tcPr>
          <w:p w14:paraId="4E4369CE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>Quantity</w:t>
            </w:r>
          </w:p>
        </w:tc>
        <w:tc>
          <w:tcPr>
            <w:tcW w:w="2681" w:type="pct"/>
            <w:vAlign w:val="center"/>
            <w:hideMark/>
          </w:tcPr>
          <w:p w14:paraId="0B3EF07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noProof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7A469C68" wp14:editId="01EB4D60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1177925</wp:posOffset>
                  </wp:positionV>
                  <wp:extent cx="18415" cy="18415"/>
                  <wp:effectExtent l="0" t="0" r="3810" b="3810"/>
                  <wp:wrapNone/>
                  <wp:docPr id="13" name="In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Ink">
                      <w14:contentPart bwMode="auto" r:id="rId13">
                        <w14:nvContentPartPr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18415" cy="18415"/>
                        </w14:xfrm>
                      </w14:contentPart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167B">
              <w:rPr>
                <w:rFonts w:ascii="Arial" w:hAnsi="Arial" w:cs="Arial"/>
                <w:b/>
                <w:noProof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0288" behindDoc="0" locked="0" layoutInCell="1" allowOverlap="1" wp14:anchorId="3B041EA3" wp14:editId="281826FD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1119505</wp:posOffset>
                  </wp:positionV>
                  <wp:extent cx="18415" cy="18415"/>
                  <wp:effectExtent l="3175" t="0" r="0" b="0"/>
                  <wp:wrapNone/>
                  <wp:docPr id="14" name="In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Ink">
                      <w14:contentPart bwMode="auto" r:id="rId14">
                        <w14:nvContentPartPr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18415" cy="18415"/>
                        </w14:xfrm>
                      </w14:contentPart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 xml:space="preserve">Total cost (R) to ATNS including VAT </w:t>
            </w:r>
          </w:p>
        </w:tc>
      </w:tr>
      <w:tr w:rsidR="00AB4FE9" w:rsidRPr="0045167B" w14:paraId="53AB9B80" w14:textId="77777777" w:rsidTr="00996152">
        <w:trPr>
          <w:trHeight w:val="649"/>
        </w:trPr>
        <w:tc>
          <w:tcPr>
            <w:tcW w:w="957" w:type="pct"/>
            <w:vAlign w:val="center"/>
            <w:hideMark/>
          </w:tcPr>
          <w:p w14:paraId="77F6254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  <w:t>Hardware Costs</w:t>
            </w:r>
          </w:p>
        </w:tc>
        <w:tc>
          <w:tcPr>
            <w:tcW w:w="671" w:type="pct"/>
            <w:vAlign w:val="center"/>
            <w:hideMark/>
          </w:tcPr>
          <w:p w14:paraId="39005AE0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</w:tcPr>
          <w:p w14:paraId="5DAB0DA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  <w:p w14:paraId="0636B38E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  <w:hideMark/>
          </w:tcPr>
          <w:p w14:paraId="7B930EC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51A3BE0D" w14:textId="77777777" w:rsidTr="00996152">
        <w:trPr>
          <w:trHeight w:val="518"/>
        </w:trPr>
        <w:tc>
          <w:tcPr>
            <w:tcW w:w="957" w:type="pct"/>
            <w:vAlign w:val="center"/>
            <w:hideMark/>
          </w:tcPr>
          <w:p w14:paraId="79794CD9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  <w:t>Software licensing Cost</w:t>
            </w:r>
          </w:p>
          <w:p w14:paraId="3D86086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71" w:type="pct"/>
            <w:vAlign w:val="center"/>
            <w:hideMark/>
          </w:tcPr>
          <w:p w14:paraId="59FC72A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  <w:hideMark/>
          </w:tcPr>
          <w:p w14:paraId="44C6CBA7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  <w:hideMark/>
          </w:tcPr>
          <w:p w14:paraId="197FA9DA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5D149875" w14:textId="77777777" w:rsidTr="00996152">
        <w:trPr>
          <w:trHeight w:val="474"/>
        </w:trPr>
        <w:tc>
          <w:tcPr>
            <w:tcW w:w="957" w:type="pct"/>
            <w:vAlign w:val="center"/>
            <w:hideMark/>
          </w:tcPr>
          <w:p w14:paraId="11BED8D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Warranty Costs</w:t>
            </w:r>
          </w:p>
          <w:p w14:paraId="6192251F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71" w:type="pct"/>
            <w:vAlign w:val="center"/>
            <w:hideMark/>
          </w:tcPr>
          <w:p w14:paraId="3EA6EEC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  <w:hideMark/>
          </w:tcPr>
          <w:p w14:paraId="2522297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  <w:hideMark/>
          </w:tcPr>
          <w:p w14:paraId="2A9CD14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0D5AA0E4" w14:textId="77777777" w:rsidTr="00996152">
        <w:trPr>
          <w:trHeight w:val="474"/>
        </w:trPr>
        <w:tc>
          <w:tcPr>
            <w:tcW w:w="957" w:type="pct"/>
            <w:vAlign w:val="center"/>
            <w:hideMark/>
          </w:tcPr>
          <w:p w14:paraId="7A29A547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Consumables Costs</w:t>
            </w:r>
          </w:p>
          <w:p w14:paraId="2AB6A0C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71" w:type="pct"/>
            <w:vAlign w:val="center"/>
            <w:hideMark/>
          </w:tcPr>
          <w:p w14:paraId="3B42180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  <w:hideMark/>
          </w:tcPr>
          <w:p w14:paraId="719FBCE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  <w:hideMark/>
          </w:tcPr>
          <w:p w14:paraId="181F8C6B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252426BC" w14:textId="77777777" w:rsidTr="00996152">
        <w:trPr>
          <w:trHeight w:val="474"/>
        </w:trPr>
        <w:tc>
          <w:tcPr>
            <w:tcW w:w="957" w:type="pct"/>
            <w:vAlign w:val="center"/>
          </w:tcPr>
          <w:p w14:paraId="68DB114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Commissioning Costs</w:t>
            </w:r>
          </w:p>
        </w:tc>
        <w:tc>
          <w:tcPr>
            <w:tcW w:w="671" w:type="pct"/>
            <w:vAlign w:val="center"/>
          </w:tcPr>
          <w:p w14:paraId="3732074A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</w:tcPr>
          <w:p w14:paraId="154E7475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</w:tcPr>
          <w:p w14:paraId="7DD6666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</w:tr>
      <w:tr w:rsidR="00AB4FE9" w:rsidRPr="0045167B" w14:paraId="3AAAB8D3" w14:textId="77777777" w:rsidTr="00996152">
        <w:trPr>
          <w:trHeight w:val="474"/>
        </w:trPr>
        <w:tc>
          <w:tcPr>
            <w:tcW w:w="957" w:type="pct"/>
            <w:vAlign w:val="center"/>
          </w:tcPr>
          <w:p w14:paraId="76EECA8B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Installation costs</w:t>
            </w:r>
          </w:p>
        </w:tc>
        <w:tc>
          <w:tcPr>
            <w:tcW w:w="671" w:type="pct"/>
            <w:vAlign w:val="center"/>
          </w:tcPr>
          <w:p w14:paraId="41DD24F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</w:tcPr>
          <w:p w14:paraId="5BDF017F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</w:tcPr>
          <w:p w14:paraId="15495E1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</w:tr>
      <w:tr w:rsidR="00AB4FE9" w:rsidRPr="0045167B" w14:paraId="39B08E80" w14:textId="77777777" w:rsidTr="00996152">
        <w:trPr>
          <w:trHeight w:val="474"/>
        </w:trPr>
        <w:tc>
          <w:tcPr>
            <w:tcW w:w="957" w:type="pct"/>
            <w:vAlign w:val="center"/>
          </w:tcPr>
          <w:p w14:paraId="428139CA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Decommissioning Costs</w:t>
            </w:r>
          </w:p>
        </w:tc>
        <w:tc>
          <w:tcPr>
            <w:tcW w:w="671" w:type="pct"/>
            <w:vAlign w:val="center"/>
          </w:tcPr>
          <w:p w14:paraId="7292CAA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</w:tcPr>
          <w:p w14:paraId="047470F0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</w:tcPr>
          <w:p w14:paraId="021D50C7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</w:tr>
      <w:tr w:rsidR="00AB4FE9" w:rsidRPr="0045167B" w14:paraId="4A7E1CB5" w14:textId="77777777" w:rsidTr="00996152">
        <w:trPr>
          <w:trHeight w:val="474"/>
        </w:trPr>
        <w:tc>
          <w:tcPr>
            <w:tcW w:w="957" w:type="pct"/>
            <w:vAlign w:val="center"/>
          </w:tcPr>
          <w:p w14:paraId="4557A4C9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 xml:space="preserve">Project management and implementation </w:t>
            </w:r>
          </w:p>
        </w:tc>
        <w:tc>
          <w:tcPr>
            <w:tcW w:w="671" w:type="pct"/>
            <w:vAlign w:val="center"/>
          </w:tcPr>
          <w:p w14:paraId="4E598D28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</w:tcPr>
          <w:p w14:paraId="5C89251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</w:tcPr>
          <w:p w14:paraId="1460392D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</w:tr>
      <w:tr w:rsidR="00AB4FE9" w:rsidRPr="0045167B" w14:paraId="595DEE00" w14:textId="77777777" w:rsidTr="00996152">
        <w:trPr>
          <w:trHeight w:val="474"/>
        </w:trPr>
        <w:tc>
          <w:tcPr>
            <w:tcW w:w="957" w:type="pct"/>
            <w:vAlign w:val="center"/>
            <w:hideMark/>
          </w:tcPr>
          <w:p w14:paraId="63202FC8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ZA"/>
              </w:rPr>
              <w:t>Total Year 0</w:t>
            </w:r>
          </w:p>
          <w:p w14:paraId="64D5F84D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71" w:type="pct"/>
            <w:vAlign w:val="center"/>
          </w:tcPr>
          <w:p w14:paraId="7FA38A58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691" w:type="pct"/>
            <w:hideMark/>
          </w:tcPr>
          <w:p w14:paraId="3FFF5325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681" w:type="pct"/>
          </w:tcPr>
          <w:p w14:paraId="412591FA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bookmarkEnd w:id="2"/>
      </w:tr>
    </w:tbl>
    <w:p w14:paraId="03804919" w14:textId="77777777" w:rsidR="00AB4FE9" w:rsidRPr="0045167B" w:rsidRDefault="00AB4FE9" w:rsidP="00AB4FE9">
      <w:pPr>
        <w:jc w:val="both"/>
        <w:rPr>
          <w:rFonts w:ascii="Arial" w:hAnsi="Arial" w:cs="Arial"/>
          <w:sz w:val="22"/>
          <w:szCs w:val="22"/>
        </w:rPr>
      </w:pPr>
    </w:p>
    <w:p w14:paraId="6B81086A" w14:textId="77777777" w:rsidR="00AB4FE9" w:rsidRPr="0045167B" w:rsidRDefault="00AB4FE9" w:rsidP="00AB4FE9">
      <w:pPr>
        <w:framePr w:hSpace="180" w:wrap="around" w:vAnchor="text" w:hAnchor="margin" w:xAlign="center" w:y="16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2CBD86" w14:textId="62E4A13C" w:rsidR="00AB4FE9" w:rsidRDefault="00AB4FE9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A62B8" w14:textId="417A2A93" w:rsidR="00F638F1" w:rsidRDefault="00F638F1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C01B74" w14:textId="12E9E0A6" w:rsidR="00F638F1" w:rsidRDefault="00F638F1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5BF9ED" w14:textId="308FC6BA" w:rsidR="00F638F1" w:rsidRDefault="00F638F1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C787F1" w14:textId="77777777" w:rsidR="00F638F1" w:rsidRPr="0045167B" w:rsidRDefault="00F638F1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6F90A0" w14:textId="77777777" w:rsidR="00AB4FE9" w:rsidRPr="0045167B" w:rsidRDefault="00AB4FE9" w:rsidP="00AB4FE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7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Year 1 to 10 (Support and maintenance)</w:t>
      </w:r>
    </w:p>
    <w:tbl>
      <w:tblPr>
        <w:tblpPr w:leftFromText="180" w:rightFromText="180" w:bottomFromText="160" w:vertAnchor="text" w:horzAnchor="margin" w:tblpY="180"/>
        <w:tblW w:w="493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2"/>
        <w:gridCol w:w="1251"/>
        <w:gridCol w:w="1288"/>
        <w:gridCol w:w="4844"/>
      </w:tblGrid>
      <w:tr w:rsidR="00AB4FE9" w:rsidRPr="0045167B" w14:paraId="6796DBBD" w14:textId="77777777" w:rsidTr="00996152">
        <w:trPr>
          <w:trHeight w:val="518"/>
        </w:trPr>
        <w:tc>
          <w:tcPr>
            <w:tcW w:w="809" w:type="pct"/>
            <w:vAlign w:val="center"/>
            <w:hideMark/>
          </w:tcPr>
          <w:p w14:paraId="560C26E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>Description</w:t>
            </w:r>
          </w:p>
        </w:tc>
        <w:tc>
          <w:tcPr>
            <w:tcW w:w="721" w:type="pct"/>
            <w:vAlign w:val="center"/>
            <w:hideMark/>
          </w:tcPr>
          <w:p w14:paraId="2B3CA75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>Cost / year</w:t>
            </w:r>
          </w:p>
        </w:tc>
        <w:tc>
          <w:tcPr>
            <w:tcW w:w="741" w:type="pct"/>
            <w:vAlign w:val="center"/>
            <w:hideMark/>
          </w:tcPr>
          <w:p w14:paraId="50ED468B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>Years</w:t>
            </w:r>
          </w:p>
        </w:tc>
        <w:tc>
          <w:tcPr>
            <w:tcW w:w="2729" w:type="pct"/>
            <w:vAlign w:val="center"/>
            <w:hideMark/>
          </w:tcPr>
          <w:p w14:paraId="39B81F55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noProof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4384" behindDoc="0" locked="0" layoutInCell="1" allowOverlap="1" wp14:anchorId="419C853D" wp14:editId="2CB03A05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1177925</wp:posOffset>
                  </wp:positionV>
                  <wp:extent cx="18415" cy="18415"/>
                  <wp:effectExtent l="0" t="0" r="3810" b="3810"/>
                  <wp:wrapNone/>
                  <wp:docPr id="15" name="In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Ink">
                      <w14:contentPart bwMode="auto" r:id="rId15">
                        <w14:nvContentPartPr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18415" cy="18415"/>
                        </w14:xfrm>
                      </w14:contentPart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167B">
              <w:rPr>
                <w:rFonts w:ascii="Arial" w:hAnsi="Arial" w:cs="Arial"/>
                <w:b/>
                <w:noProof/>
                <w:sz w:val="22"/>
                <w:szCs w:val="22"/>
                <w:lang w:eastAsia="en-ZA"/>
              </w:rPr>
              <w:drawing>
                <wp:anchor distT="0" distB="0" distL="114300" distR="114300" simplePos="0" relativeHeight="251665408" behindDoc="0" locked="0" layoutInCell="1" allowOverlap="1" wp14:anchorId="7FAEA8E1" wp14:editId="6A91C27C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1119505</wp:posOffset>
                  </wp:positionV>
                  <wp:extent cx="18415" cy="18415"/>
                  <wp:effectExtent l="3175" t="0" r="0" b="0"/>
                  <wp:wrapNone/>
                  <wp:docPr id="16" name="In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Ink">
                      <w14:contentPart bwMode="auto" r:id="rId16">
                        <w14:nvContentPartPr>
                          <w14:cNvContentPartPr>
                            <a14:cpLocks xmlns:a14="http://schemas.microsoft.com/office/drawing/2010/main" noRot="1" noChangeAspect="1" noEditPoints="1" noChangeArrowheads="1" noChangeShapeType="1"/>
                          </w14:cNvContentPartPr>
                        </w14:nvContentPartPr>
                        <w14:xfrm>
                          <a:off x="0" y="0"/>
                          <a:ext cx="18415" cy="18415"/>
                        </w14:xfrm>
                      </w14:contentPart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16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ZA"/>
              </w:rPr>
              <w:t xml:space="preserve">Total cost (R) to ATNS including VAT </w:t>
            </w:r>
          </w:p>
        </w:tc>
      </w:tr>
      <w:tr w:rsidR="00AB4FE9" w:rsidRPr="0045167B" w14:paraId="25270E6D" w14:textId="77777777" w:rsidTr="00996152">
        <w:trPr>
          <w:trHeight w:val="888"/>
        </w:trPr>
        <w:tc>
          <w:tcPr>
            <w:tcW w:w="809" w:type="pct"/>
            <w:vAlign w:val="center"/>
            <w:hideMark/>
          </w:tcPr>
          <w:p w14:paraId="2178D607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  <w:t xml:space="preserve">Support </w:t>
            </w: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and Maintenance Costs</w:t>
            </w:r>
          </w:p>
          <w:p w14:paraId="33B78164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21" w:type="pct"/>
            <w:vAlign w:val="center"/>
            <w:hideMark/>
          </w:tcPr>
          <w:p w14:paraId="21EBB1A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41" w:type="pct"/>
          </w:tcPr>
          <w:p w14:paraId="6A0BCCE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  <w:p w14:paraId="61BFB2D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729" w:type="pct"/>
            <w:hideMark/>
          </w:tcPr>
          <w:p w14:paraId="123C0F6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0C82491D" w14:textId="77777777" w:rsidTr="00996152">
        <w:trPr>
          <w:trHeight w:val="518"/>
        </w:trPr>
        <w:tc>
          <w:tcPr>
            <w:tcW w:w="809" w:type="pct"/>
            <w:vAlign w:val="center"/>
            <w:hideMark/>
          </w:tcPr>
          <w:p w14:paraId="66612DAF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  <w:t>Adhoc costs – Callout fees</w:t>
            </w:r>
          </w:p>
          <w:p w14:paraId="3922745B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  <w:t>(Indicate rate per call out)</w:t>
            </w:r>
          </w:p>
          <w:p w14:paraId="79D6A278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21" w:type="pct"/>
            <w:vAlign w:val="center"/>
            <w:hideMark/>
          </w:tcPr>
          <w:p w14:paraId="3A23C68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41" w:type="pct"/>
            <w:hideMark/>
          </w:tcPr>
          <w:p w14:paraId="09835F3E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729" w:type="pct"/>
            <w:hideMark/>
          </w:tcPr>
          <w:p w14:paraId="0FE98439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441B8831" w14:textId="77777777" w:rsidTr="00996152">
        <w:trPr>
          <w:trHeight w:val="474"/>
        </w:trPr>
        <w:tc>
          <w:tcPr>
            <w:tcW w:w="809" w:type="pct"/>
            <w:vAlign w:val="center"/>
            <w:hideMark/>
          </w:tcPr>
          <w:p w14:paraId="7D3B9F2B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ZA"/>
              </w:rPr>
              <w:t>Software licensing Cost</w:t>
            </w:r>
          </w:p>
          <w:p w14:paraId="73563951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21" w:type="pct"/>
            <w:vAlign w:val="center"/>
            <w:hideMark/>
          </w:tcPr>
          <w:p w14:paraId="4DE1CCA4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41" w:type="pct"/>
            <w:hideMark/>
          </w:tcPr>
          <w:p w14:paraId="6A747EED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729" w:type="pct"/>
            <w:hideMark/>
          </w:tcPr>
          <w:p w14:paraId="123631A7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 </w:t>
            </w:r>
          </w:p>
        </w:tc>
      </w:tr>
      <w:tr w:rsidR="00AB4FE9" w:rsidRPr="0045167B" w14:paraId="461B50FD" w14:textId="77777777" w:rsidTr="00996152">
        <w:trPr>
          <w:trHeight w:val="474"/>
        </w:trPr>
        <w:tc>
          <w:tcPr>
            <w:tcW w:w="809" w:type="pct"/>
            <w:vAlign w:val="center"/>
          </w:tcPr>
          <w:p w14:paraId="6F44A64D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  <w:t>Consumables Costs</w:t>
            </w:r>
          </w:p>
        </w:tc>
        <w:tc>
          <w:tcPr>
            <w:tcW w:w="721" w:type="pct"/>
            <w:vAlign w:val="center"/>
          </w:tcPr>
          <w:p w14:paraId="37ACC465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41" w:type="pct"/>
          </w:tcPr>
          <w:p w14:paraId="79F72A3C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729" w:type="pct"/>
          </w:tcPr>
          <w:p w14:paraId="1A1C2DF2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</w:tr>
      <w:tr w:rsidR="00AB4FE9" w:rsidRPr="0045167B" w14:paraId="02692340" w14:textId="77777777" w:rsidTr="00996152">
        <w:trPr>
          <w:trHeight w:val="474"/>
        </w:trPr>
        <w:tc>
          <w:tcPr>
            <w:tcW w:w="809" w:type="pct"/>
            <w:vAlign w:val="center"/>
            <w:hideMark/>
          </w:tcPr>
          <w:p w14:paraId="20FEDCF8" w14:textId="77777777" w:rsidR="00AB4FE9" w:rsidRPr="0045167B" w:rsidRDefault="00AB4FE9" w:rsidP="0099615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ZA"/>
              </w:rPr>
            </w:pPr>
            <w:r w:rsidRPr="0045167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ZA"/>
              </w:rPr>
              <w:t>Total Year 2</w:t>
            </w:r>
          </w:p>
          <w:p w14:paraId="6C6FCE83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21" w:type="pct"/>
            <w:vAlign w:val="center"/>
          </w:tcPr>
          <w:p w14:paraId="18526F2E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741" w:type="pct"/>
            <w:hideMark/>
          </w:tcPr>
          <w:p w14:paraId="2D7FE74B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  <w:tc>
          <w:tcPr>
            <w:tcW w:w="2729" w:type="pct"/>
          </w:tcPr>
          <w:p w14:paraId="1ED8E8D6" w14:textId="77777777" w:rsidR="00AB4FE9" w:rsidRPr="0045167B" w:rsidRDefault="00AB4FE9" w:rsidP="0099615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ZA"/>
              </w:rPr>
            </w:pPr>
          </w:p>
        </w:tc>
      </w:tr>
    </w:tbl>
    <w:p w14:paraId="167A08FF" w14:textId="77777777" w:rsidR="00AB4FE9" w:rsidRPr="0045167B" w:rsidRDefault="00AB4FE9" w:rsidP="00AB4FE9">
      <w:pPr>
        <w:rPr>
          <w:rFonts w:ascii="Arial" w:hAnsi="Arial" w:cs="Arial"/>
          <w:sz w:val="22"/>
          <w:szCs w:val="22"/>
        </w:rPr>
      </w:pPr>
      <w:r w:rsidRPr="0045167B">
        <w:rPr>
          <w:rFonts w:ascii="Arial" w:hAnsi="Arial" w:cs="Arial"/>
          <w:sz w:val="22"/>
          <w:szCs w:val="22"/>
        </w:rPr>
        <w:t xml:space="preserve">*The projection of the support and maintenance costs shall factor into account the </w:t>
      </w:r>
      <w:proofErr w:type="gramStart"/>
      <w:r w:rsidRPr="0045167B">
        <w:rPr>
          <w:rFonts w:ascii="Arial" w:hAnsi="Arial" w:cs="Arial"/>
          <w:sz w:val="22"/>
          <w:szCs w:val="22"/>
        </w:rPr>
        <w:t>annual  CPI</w:t>
      </w:r>
      <w:proofErr w:type="gramEnd"/>
      <w:r w:rsidRPr="0045167B">
        <w:rPr>
          <w:rFonts w:ascii="Arial" w:hAnsi="Arial" w:cs="Arial"/>
          <w:sz w:val="22"/>
          <w:szCs w:val="22"/>
        </w:rPr>
        <w:t xml:space="preserve">  rate for the 10-year period.</w:t>
      </w:r>
    </w:p>
    <w:p w14:paraId="62B7E1B3" w14:textId="77777777" w:rsidR="00AB4FE9" w:rsidRPr="0045167B" w:rsidRDefault="00AB4FE9" w:rsidP="00AB4FE9">
      <w:pPr>
        <w:rPr>
          <w:rFonts w:ascii="Arial" w:hAnsi="Arial" w:cs="Arial"/>
          <w:sz w:val="22"/>
          <w:szCs w:val="22"/>
          <w:u w:val="single"/>
        </w:rPr>
      </w:pPr>
    </w:p>
    <w:p w14:paraId="2FDF1DAC" w14:textId="77777777" w:rsidR="005D39BD" w:rsidRPr="0045167B" w:rsidRDefault="005D39BD" w:rsidP="00D94B08">
      <w:pPr>
        <w:rPr>
          <w:rFonts w:ascii="Arial" w:hAnsi="Arial" w:cs="Arial"/>
          <w:sz w:val="22"/>
          <w:szCs w:val="22"/>
        </w:rPr>
      </w:pPr>
    </w:p>
    <w:sectPr w:rsidR="005D39BD" w:rsidRPr="0045167B" w:rsidSect="00AB4FE9">
      <w:headerReference w:type="default" r:id="rId17"/>
      <w:footerReference w:type="default" r:id="rId18"/>
      <w:pgSz w:w="11900" w:h="16840"/>
      <w:pgMar w:top="2835" w:right="1134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4BAC" w14:textId="77777777" w:rsidR="00090B94" w:rsidRDefault="00090B94" w:rsidP="0098671E">
      <w:r>
        <w:separator/>
      </w:r>
    </w:p>
  </w:endnote>
  <w:endnote w:type="continuationSeparator" w:id="0">
    <w:p w14:paraId="545BDF60" w14:textId="77777777" w:rsidR="00090B94" w:rsidRDefault="00090B94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9"/>
      <w:gridCol w:w="3442"/>
      <w:gridCol w:w="3260"/>
    </w:tblGrid>
    <w:tr w:rsidR="00AD48CC" w:rsidRPr="00395828" w14:paraId="2818BF2E" w14:textId="77777777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14:paraId="3BE1F93F" w14:textId="1B2B9CF2" w:rsidR="00AD48CC" w:rsidRPr="00F638F1" w:rsidRDefault="00F638F1" w:rsidP="00C806AD">
          <w:pPr>
            <w:pStyle w:val="Footer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F638F1">
            <w:rPr>
              <w:rFonts w:ascii="Arial" w:hAnsi="Arial" w:cs="Arial"/>
              <w:b/>
              <w:sz w:val="12"/>
              <w:szCs w:val="12"/>
            </w:rPr>
            <w:t>ATNS/ RFP036/FY22.23/ELECTRONIC SECURITY SYSTEM, ALARM MONITORING AND ARMED RESPONSE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14:paraId="6723C199" w14:textId="038214AA" w:rsidR="00AD48CC" w:rsidRPr="00BD7C41" w:rsidRDefault="00AD48CC" w:rsidP="00C806AD">
          <w:pPr>
            <w:jc w:val="center"/>
            <w:rPr>
              <w:rFonts w:ascii="Arial" w:hAnsi="Arial"/>
              <w:sz w:val="18"/>
              <w:szCs w:val="18"/>
            </w:rPr>
          </w:pPr>
          <w:r w:rsidRPr="00BD7C41">
            <w:rPr>
              <w:rFonts w:ascii="Arial" w:hAnsi="Arial"/>
              <w:sz w:val="18"/>
              <w:szCs w:val="18"/>
            </w:rPr>
            <w:t xml:space="preserve">Page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  <w:r w:rsidRPr="00BD7C41">
            <w:rPr>
              <w:rFonts w:ascii="Arial" w:hAnsi="Arial"/>
              <w:sz w:val="18"/>
              <w:szCs w:val="18"/>
            </w:rPr>
            <w:t xml:space="preserve"> of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61C6F102" w14:textId="13F904DB" w:rsidR="00AD48CC" w:rsidRPr="00F638F1" w:rsidRDefault="00354505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 xml:space="preserve">DECEMBER </w:t>
          </w:r>
          <w:r w:rsidR="0045167B" w:rsidRPr="00F638F1">
            <w:rPr>
              <w:rFonts w:ascii="Arial" w:hAnsi="Arial" w:cs="Arial"/>
              <w:b/>
              <w:bCs/>
              <w:sz w:val="12"/>
              <w:szCs w:val="12"/>
            </w:rPr>
            <w:t>2022</w:t>
          </w:r>
        </w:p>
      </w:tc>
    </w:tr>
  </w:tbl>
  <w:p w14:paraId="1545B727" w14:textId="7B0537F7" w:rsidR="00AD48CC" w:rsidRDefault="00B34B4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0FCFD" wp14:editId="0D9B413A">
          <wp:simplePos x="0" y="0"/>
          <wp:positionH relativeFrom="column">
            <wp:posOffset>-1107844</wp:posOffset>
          </wp:positionH>
          <wp:positionV relativeFrom="paragraph">
            <wp:posOffset>-3670620</wp:posOffset>
          </wp:positionV>
          <wp:extent cx="7564582" cy="446281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2-02-16 at 12.19.03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094" cy="446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E226" w14:textId="77777777" w:rsidR="00090B94" w:rsidRDefault="00090B94" w:rsidP="0098671E">
      <w:r>
        <w:separator/>
      </w:r>
    </w:p>
  </w:footnote>
  <w:footnote w:type="continuationSeparator" w:id="0">
    <w:p w14:paraId="53ECA207" w14:textId="77777777" w:rsidR="00090B94" w:rsidRDefault="00090B94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654" w14:textId="69E14B2B" w:rsidR="00AD48CC" w:rsidRDefault="00AD48CC" w:rsidP="00856A42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51449" wp14:editId="3D70D5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4783"/>
          <wp:effectExtent l="0" t="0" r="9525" b="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B14"/>
    <w:multiLevelType w:val="hybridMultilevel"/>
    <w:tmpl w:val="C7520E66"/>
    <w:lvl w:ilvl="0" w:tplc="E162E668">
      <w:start w:val="1"/>
      <w:numFmt w:val="decimal"/>
      <w:lvlText w:val="6.2.%1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2657B9"/>
    <w:multiLevelType w:val="multilevel"/>
    <w:tmpl w:val="4822C87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17F03EC"/>
    <w:multiLevelType w:val="multilevel"/>
    <w:tmpl w:val="CC1A9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/>
        <w:i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1D3C6B"/>
    <w:multiLevelType w:val="hybridMultilevel"/>
    <w:tmpl w:val="160292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041FF"/>
    <w:multiLevelType w:val="multilevel"/>
    <w:tmpl w:val="52969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9C0146"/>
    <w:multiLevelType w:val="multilevel"/>
    <w:tmpl w:val="D23031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E"/>
    <w:rsid w:val="00001EED"/>
    <w:rsid w:val="0001457F"/>
    <w:rsid w:val="00040175"/>
    <w:rsid w:val="000845A1"/>
    <w:rsid w:val="00090B94"/>
    <w:rsid w:val="00091B3D"/>
    <w:rsid w:val="00120C1B"/>
    <w:rsid w:val="001530D4"/>
    <w:rsid w:val="00170D81"/>
    <w:rsid w:val="001870A1"/>
    <w:rsid w:val="001B5E97"/>
    <w:rsid w:val="001C1B9F"/>
    <w:rsid w:val="001C2CF4"/>
    <w:rsid w:val="001C5ECC"/>
    <w:rsid w:val="001D487B"/>
    <w:rsid w:val="001D52FE"/>
    <w:rsid w:val="00230E76"/>
    <w:rsid w:val="002372E9"/>
    <w:rsid w:val="002545CF"/>
    <w:rsid w:val="00263F0A"/>
    <w:rsid w:val="00264790"/>
    <w:rsid w:val="0027618D"/>
    <w:rsid w:val="00286085"/>
    <w:rsid w:val="00297362"/>
    <w:rsid w:val="002C0F84"/>
    <w:rsid w:val="0031357A"/>
    <w:rsid w:val="00326F3B"/>
    <w:rsid w:val="0033689D"/>
    <w:rsid w:val="00354505"/>
    <w:rsid w:val="00394059"/>
    <w:rsid w:val="003C5952"/>
    <w:rsid w:val="003E1146"/>
    <w:rsid w:val="003F705E"/>
    <w:rsid w:val="00402255"/>
    <w:rsid w:val="00425CB1"/>
    <w:rsid w:val="0045167B"/>
    <w:rsid w:val="0045278F"/>
    <w:rsid w:val="00461908"/>
    <w:rsid w:val="0047587A"/>
    <w:rsid w:val="00490283"/>
    <w:rsid w:val="004A2F99"/>
    <w:rsid w:val="004E5282"/>
    <w:rsid w:val="00535088"/>
    <w:rsid w:val="005554E8"/>
    <w:rsid w:val="0056198E"/>
    <w:rsid w:val="005A59E9"/>
    <w:rsid w:val="005A5C0E"/>
    <w:rsid w:val="005D320F"/>
    <w:rsid w:val="005D39BD"/>
    <w:rsid w:val="00612D47"/>
    <w:rsid w:val="00630159"/>
    <w:rsid w:val="0064472A"/>
    <w:rsid w:val="00674AE7"/>
    <w:rsid w:val="00676DDE"/>
    <w:rsid w:val="006D3DB2"/>
    <w:rsid w:val="006E2631"/>
    <w:rsid w:val="00700B7E"/>
    <w:rsid w:val="00742E71"/>
    <w:rsid w:val="00772AB4"/>
    <w:rsid w:val="007F13BA"/>
    <w:rsid w:val="0081327E"/>
    <w:rsid w:val="008331D2"/>
    <w:rsid w:val="008366F0"/>
    <w:rsid w:val="00843ADD"/>
    <w:rsid w:val="00852D4A"/>
    <w:rsid w:val="00856A42"/>
    <w:rsid w:val="008823FF"/>
    <w:rsid w:val="008B0A40"/>
    <w:rsid w:val="008E1EBC"/>
    <w:rsid w:val="00924035"/>
    <w:rsid w:val="009261B6"/>
    <w:rsid w:val="009305AD"/>
    <w:rsid w:val="0098671E"/>
    <w:rsid w:val="009A542E"/>
    <w:rsid w:val="009D0353"/>
    <w:rsid w:val="00A537D1"/>
    <w:rsid w:val="00A732DE"/>
    <w:rsid w:val="00A847AD"/>
    <w:rsid w:val="00A922C0"/>
    <w:rsid w:val="00AB3816"/>
    <w:rsid w:val="00AB4FE9"/>
    <w:rsid w:val="00AC1C9F"/>
    <w:rsid w:val="00AC3BE4"/>
    <w:rsid w:val="00AD48CC"/>
    <w:rsid w:val="00AD6832"/>
    <w:rsid w:val="00B123A8"/>
    <w:rsid w:val="00B12D90"/>
    <w:rsid w:val="00B34B47"/>
    <w:rsid w:val="00B35459"/>
    <w:rsid w:val="00B702B9"/>
    <w:rsid w:val="00B8707C"/>
    <w:rsid w:val="00B87863"/>
    <w:rsid w:val="00B9659C"/>
    <w:rsid w:val="00B96D70"/>
    <w:rsid w:val="00BE718C"/>
    <w:rsid w:val="00C018F8"/>
    <w:rsid w:val="00C065E8"/>
    <w:rsid w:val="00C200B9"/>
    <w:rsid w:val="00C37069"/>
    <w:rsid w:val="00C47D32"/>
    <w:rsid w:val="00C67B15"/>
    <w:rsid w:val="00C71DC6"/>
    <w:rsid w:val="00C77292"/>
    <w:rsid w:val="00C806AD"/>
    <w:rsid w:val="00C846CF"/>
    <w:rsid w:val="00C90751"/>
    <w:rsid w:val="00CA0127"/>
    <w:rsid w:val="00D224F0"/>
    <w:rsid w:val="00D94B08"/>
    <w:rsid w:val="00DB0E99"/>
    <w:rsid w:val="00E14DE7"/>
    <w:rsid w:val="00E2186E"/>
    <w:rsid w:val="00E40CB7"/>
    <w:rsid w:val="00E5431F"/>
    <w:rsid w:val="00E636A5"/>
    <w:rsid w:val="00E7307A"/>
    <w:rsid w:val="00E81D3E"/>
    <w:rsid w:val="00EF7F44"/>
    <w:rsid w:val="00F638F1"/>
    <w:rsid w:val="00F80280"/>
    <w:rsid w:val="00F82BCA"/>
    <w:rsid w:val="00FC3448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9E4C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Grey Bullet List,Grey Bullet Style,Table of contents numbered,(bullets,main),Table bullet,Bulletted,AB List 1,lp1,Chapter Numbering,Rep Body 2"/>
    <w:basedOn w:val="Normal"/>
    <w:link w:val="ListParagraphChar"/>
    <w:uiPriority w:val="34"/>
    <w:qFormat/>
    <w:rsid w:val="00B70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B702B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94B08"/>
    <w:rPr>
      <w:color w:val="0000FF"/>
      <w:u w:val="single"/>
    </w:rPr>
  </w:style>
  <w:style w:type="character" w:styleId="CommentReference">
    <w:name w:val="annotation reference"/>
    <w:rsid w:val="00AB4FE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AB4FE9"/>
    <w:pPr>
      <w:keepNext/>
      <w:jc w:val="both"/>
    </w:pPr>
    <w:rPr>
      <w:rFonts w:ascii="Arial" w:eastAsia="Times New Roman" w:hAnsi="Arial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FE9"/>
    <w:rPr>
      <w:rFonts w:ascii="Arial" w:eastAsia="Times New Roman" w:hAnsi="Arial"/>
      <w:lang w:val="en-ZA" w:eastAsia="en-US"/>
    </w:rPr>
  </w:style>
  <w:style w:type="character" w:customStyle="1" w:styleId="ListParagraphChar">
    <w:name w:val="List Paragraph Char"/>
    <w:aliases w:val="Grey Bullet List Char,Grey Bullet Style Char,Table of contents numbered Char,(bullets Char,main) Char,Table bullet Char,Bulletted Char,AB List 1 Char,lp1 Char,Chapter Numbering Char,Rep Body 2 Char"/>
    <w:basedOn w:val="DefaultParagraphFont"/>
    <w:link w:val="ListParagraph"/>
    <w:uiPriority w:val="34"/>
    <w:locked/>
    <w:rsid w:val="00AB4FE9"/>
    <w:rPr>
      <w:rFonts w:ascii="Calibri" w:eastAsia="Calibri" w:hAnsi="Calibr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4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5" Type="http://schemas.openxmlformats.org/officeDocument/2006/relationships/customXml" Target="ink/ink6.xml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/>
</inkml:ink>
</file>

<file path=word/ink/ink5.xml><?xml version="1.0" encoding="utf-8"?>
<inkml:ink xmlns:inkml="http://www.w3.org/2003/InkML">
  <inkml:definitions/>
</inkml:ink>
</file>

<file path=word/ink/ink6.xml><?xml version="1.0" encoding="utf-8"?>
<inkml:ink xmlns:inkml="http://www.w3.org/2003/InkML">
  <inkml:definitions/>
</inkml:ink>
</file>

<file path=word/ink/ink7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1331DF0D1B64E9FEB40F40F9A2830" ma:contentTypeVersion="14" ma:contentTypeDescription="Create a new document." ma:contentTypeScope="" ma:versionID="1772fc64e06232a2d30167586527afa8">
  <xsd:schema xmlns:xsd="http://www.w3.org/2001/XMLSchema" xmlns:xs="http://www.w3.org/2001/XMLSchema" xmlns:p="http://schemas.microsoft.com/office/2006/metadata/properties" xmlns:ns3="c4bf8319-e113-43c0-aee8-1a519f517cb9" xmlns:ns4="af6e83de-6ece-4941-9d09-025b82a146d5" targetNamespace="http://schemas.microsoft.com/office/2006/metadata/properties" ma:root="true" ma:fieldsID="857ad37c400d9dedc08639297cfc521b" ns3:_="" ns4:_="">
    <xsd:import namespace="c4bf8319-e113-43c0-aee8-1a519f517cb9"/>
    <xsd:import namespace="af6e83de-6ece-4941-9d09-025b82a1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8319-e113-43c0-aee8-1a519f517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83de-6ece-4941-9d09-025b82a14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A922B-6525-4409-9827-DB8B6A8E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8319-e113-43c0-aee8-1a519f517cb9"/>
    <ds:schemaRef ds:uri="af6e83de-6ece-4941-9d09-025b82a1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D3040-1BFF-4AB9-88C8-7930518BF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8122C-B657-4123-AA0E-DC7111BCB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PRICING SCHEDULE 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Nokuthula Sangweni</cp:lastModifiedBy>
  <cp:revision>2</cp:revision>
  <dcterms:created xsi:type="dcterms:W3CDTF">2022-12-13T17:17:00Z</dcterms:created>
  <dcterms:modified xsi:type="dcterms:W3CDTF">2022-12-13T17:17:00Z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0x0101000071331DF0D1B64E9FEB40F40F9A2830</vt:lpwstr>
  </property>
</Properties>
</file>