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7000B891" w:rsidR="00386B2D" w:rsidRPr="001F116F" w:rsidRDefault="00875C4F" w:rsidP="008425A3">
      <w:pPr>
        <w:jc w:val="center"/>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bookmarkEnd w:id="0"/>
      <w:r w:rsidR="008425A3">
        <w:rPr>
          <w:rFonts w:ascii="Arial" w:hAnsi="Arial" w:cs="Arial"/>
          <w:b/>
          <w:sz w:val="22"/>
          <w:szCs w:val="22"/>
        </w:rPr>
        <w:t>SUPPLY AND DELIVERY OF VSAT TERMINAL MODEMS</w:t>
      </w:r>
      <w:r w:rsidR="001F116F">
        <w:rPr>
          <w:rFonts w:ascii="Arial" w:hAnsi="Arial" w:cs="Arial"/>
          <w:b/>
          <w:sz w:val="22"/>
          <w:szCs w:val="22"/>
        </w:rPr>
        <w: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7D4940AD"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8425A3">
              <w:rPr>
                <w:rFonts w:ascii="Arial" w:hAnsi="Arial" w:cs="Arial"/>
                <w:b/>
                <w:sz w:val="20"/>
                <w:szCs w:val="20"/>
              </w:rPr>
              <w:t>6</w:t>
            </w:r>
            <w:r w:rsidRPr="00B23A80">
              <w:rPr>
                <w:rFonts w:ascii="Arial" w:hAnsi="Arial" w:cs="Arial"/>
                <w:b/>
                <w:sz w:val="20"/>
                <w:szCs w:val="20"/>
              </w:rPr>
              <w:t xml:space="preserve"> </w:t>
            </w:r>
            <w:r w:rsidR="008425A3">
              <w:rPr>
                <w:rFonts w:ascii="Arial" w:hAnsi="Arial" w:cs="Arial"/>
                <w:b/>
                <w:sz w:val="20"/>
                <w:szCs w:val="20"/>
              </w:rPr>
              <w:t>OCTOBER</w:t>
            </w:r>
            <w:r w:rsidRPr="00B23A80">
              <w:rPr>
                <w:rFonts w:ascii="Arial" w:hAnsi="Arial" w:cs="Arial"/>
                <w:b/>
                <w:sz w:val="20"/>
                <w:szCs w:val="20"/>
              </w:rPr>
              <w:t xml:space="preserve">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0EF70630" w:rsidR="00875C4F" w:rsidRPr="00B23A80" w:rsidRDefault="008425A3" w:rsidP="00144CC5">
            <w:pPr>
              <w:spacing w:line="276" w:lineRule="auto"/>
              <w:jc w:val="both"/>
              <w:rPr>
                <w:rFonts w:ascii="Arial" w:hAnsi="Arial" w:cs="Arial"/>
                <w:b/>
                <w:sz w:val="20"/>
                <w:szCs w:val="20"/>
              </w:rPr>
            </w:pPr>
            <w:r>
              <w:rPr>
                <w:rFonts w:ascii="Arial" w:hAnsi="Arial" w:cs="Arial"/>
                <w:b/>
                <w:sz w:val="20"/>
                <w:szCs w:val="20"/>
              </w:rPr>
              <w:t>Commercial Services</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09337038"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8425A3">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w:t>
            </w:r>
            <w:r w:rsidR="00F8154F">
              <w:rPr>
                <w:rFonts w:ascii="Arial" w:hAnsi="Arial" w:cs="Arial"/>
                <w:b/>
                <w:sz w:val="20"/>
                <w:szCs w:val="20"/>
              </w:rPr>
              <w:t>LUANDA</w:t>
            </w:r>
            <w:r w:rsidR="001F116F" w:rsidRPr="00B23A80">
              <w:rPr>
                <w:rFonts w:ascii="Arial" w:hAnsi="Arial" w:cs="Arial"/>
                <w:b/>
                <w:sz w:val="20"/>
                <w:szCs w:val="20"/>
              </w:rPr>
              <w:t xml:space="preserve"> VSAT</w:t>
            </w:r>
            <w:r w:rsidR="008425A3">
              <w:rPr>
                <w:rFonts w:ascii="Arial" w:hAnsi="Arial" w:cs="Arial"/>
                <w:b/>
                <w:sz w:val="20"/>
                <w:szCs w:val="20"/>
              </w:rPr>
              <w:t xml:space="preserve"> MODEM</w:t>
            </w:r>
            <w:r w:rsidR="001F116F" w:rsidRPr="00B23A80">
              <w:rPr>
                <w:rFonts w:ascii="Arial" w:hAnsi="Arial" w:cs="Arial"/>
                <w:b/>
                <w:sz w:val="20"/>
                <w:szCs w:val="20"/>
              </w:rPr>
              <w:t>-2</w:t>
            </w:r>
            <w:r w:rsidR="008425A3">
              <w:rPr>
                <w:rFonts w:ascii="Arial" w:hAnsi="Arial" w:cs="Arial"/>
                <w:b/>
                <w:sz w:val="20"/>
                <w:szCs w:val="20"/>
              </w:rPr>
              <w:t>610</w:t>
            </w:r>
            <w:r w:rsidR="001F116F" w:rsidRPr="00B23A80">
              <w:rPr>
                <w:rFonts w:ascii="Arial" w:hAnsi="Arial" w:cs="Arial"/>
                <w:b/>
                <w:sz w:val="20"/>
                <w:szCs w:val="20"/>
              </w:rPr>
              <w:t>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C051D17" w14:textId="3E0B9267" w:rsidR="001F116F" w:rsidRPr="00B23A80" w:rsidRDefault="008425A3" w:rsidP="00144CC5">
            <w:pPr>
              <w:spacing w:line="276" w:lineRule="auto"/>
              <w:jc w:val="both"/>
              <w:rPr>
                <w:rFonts w:ascii="Arial" w:hAnsi="Arial" w:cs="Arial"/>
                <w:b/>
                <w:bCs/>
                <w:sz w:val="20"/>
                <w:szCs w:val="20"/>
                <w:lang w:eastAsia="en-ZA"/>
              </w:rPr>
            </w:pPr>
            <w:r>
              <w:rPr>
                <w:rFonts w:ascii="Arial" w:hAnsi="Arial" w:cs="Arial"/>
                <w:b/>
                <w:bCs/>
                <w:sz w:val="20"/>
                <w:szCs w:val="20"/>
                <w:lang w:eastAsia="en-ZA"/>
              </w:rPr>
              <w:t>N/A</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30030B65" w:rsidR="00512B60" w:rsidRPr="00B23A80" w:rsidRDefault="00457D3A" w:rsidP="00144CC5">
            <w:pPr>
              <w:spacing w:line="276" w:lineRule="auto"/>
              <w:jc w:val="both"/>
              <w:rPr>
                <w:rFonts w:ascii="Arial" w:hAnsi="Arial" w:cs="Arial"/>
                <w:b/>
                <w:sz w:val="20"/>
                <w:szCs w:val="20"/>
              </w:rPr>
            </w:pPr>
            <w:r w:rsidRPr="00B23A80">
              <w:rPr>
                <w:rFonts w:ascii="Arial" w:hAnsi="Arial" w:cs="Arial"/>
                <w:b/>
                <w:sz w:val="20"/>
                <w:szCs w:val="20"/>
              </w:rPr>
              <w:t>0</w:t>
            </w:r>
            <w:r w:rsidR="00F82B2C">
              <w:rPr>
                <w:rFonts w:ascii="Arial" w:hAnsi="Arial" w:cs="Arial"/>
                <w:b/>
                <w:sz w:val="20"/>
                <w:szCs w:val="20"/>
              </w:rPr>
              <w:t>7</w:t>
            </w:r>
            <w:r w:rsidR="00332AE0" w:rsidRPr="00B23A80">
              <w:rPr>
                <w:rFonts w:ascii="Arial" w:hAnsi="Arial" w:cs="Arial"/>
                <w:b/>
                <w:sz w:val="20"/>
                <w:szCs w:val="20"/>
              </w:rPr>
              <w:t xml:space="preserve"> </w:t>
            </w:r>
            <w:r w:rsidR="008425A3">
              <w:rPr>
                <w:rFonts w:ascii="Arial" w:hAnsi="Arial" w:cs="Arial"/>
                <w:b/>
                <w:sz w:val="20"/>
                <w:szCs w:val="20"/>
              </w:rPr>
              <w:t>NOVEMBER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w:t>
            </w:r>
            <w:proofErr w:type="gramStart"/>
            <w:r w:rsidRPr="00B23A80">
              <w:rPr>
                <w:rFonts w:ascii="Arial" w:hAnsi="Arial" w:cs="Arial"/>
                <w:sz w:val="20"/>
                <w:szCs w:val="20"/>
              </w:rPr>
              <w:t>Sworn</w:t>
            </w:r>
            <w:r w:rsidR="00900F00" w:rsidRPr="00B23A80">
              <w:rPr>
                <w:rFonts w:ascii="Arial" w:hAnsi="Arial" w:cs="Arial"/>
                <w:sz w:val="20"/>
                <w:szCs w:val="20"/>
              </w:rPr>
              <w:t xml:space="preserve"> </w:t>
            </w:r>
            <w:r w:rsidRPr="00B23A80">
              <w:rPr>
                <w:rFonts w:ascii="Arial" w:hAnsi="Arial" w:cs="Arial"/>
                <w:sz w:val="20"/>
                <w:szCs w:val="20"/>
              </w:rPr>
              <w:t>Affidavit</w:t>
            </w:r>
            <w:proofErr w:type="gramEnd"/>
            <w:r w:rsidRPr="00B23A80">
              <w:rPr>
                <w:rFonts w:ascii="Arial" w:hAnsi="Arial" w:cs="Arial"/>
                <w:sz w:val="20"/>
                <w:szCs w:val="20"/>
              </w:rPr>
              <w:t xml:space="preserve">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63CA1347" w14:textId="77777777" w:rsidR="008425A3" w:rsidRPr="008425A3" w:rsidRDefault="008425A3" w:rsidP="008425A3">
            <w:pPr>
              <w:pStyle w:val="ListParagraph"/>
              <w:numPr>
                <w:ilvl w:val="0"/>
                <w:numId w:val="32"/>
              </w:numPr>
              <w:spacing w:after="0"/>
              <w:jc w:val="both"/>
              <w:rPr>
                <w:rFonts w:ascii="Arial" w:hAnsi="Arial" w:cs="Arial"/>
                <w:b/>
                <w:bCs/>
                <w:sz w:val="20"/>
                <w:szCs w:val="20"/>
              </w:rPr>
            </w:pPr>
            <w:r w:rsidRPr="008425A3">
              <w:rPr>
                <w:rFonts w:ascii="Arial" w:hAnsi="Arial" w:cs="Arial"/>
                <w:b/>
                <w:bCs/>
                <w:sz w:val="20"/>
                <w:szCs w:val="20"/>
              </w:rPr>
              <w:t>Specification Datasheet</w:t>
            </w:r>
          </w:p>
          <w:p w14:paraId="6170EFBF" w14:textId="00AC0F0D" w:rsidR="00AC4864" w:rsidRPr="00B23A80" w:rsidRDefault="00AC4864" w:rsidP="008425A3">
            <w:pPr>
              <w:pStyle w:val="ListParagraph"/>
              <w:spacing w:after="0"/>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385240" w:rsidP="00144CC5">
            <w:pPr>
              <w:jc w:val="both"/>
              <w:rPr>
                <w:rFonts w:ascii="Arial" w:hAnsi="Arial" w:cs="Arial"/>
                <w:sz w:val="20"/>
                <w:szCs w:val="20"/>
                <w:lang w:val="en-ZA"/>
              </w:rPr>
            </w:pPr>
            <w:hyperlink r:id="rId10"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1"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 xml:space="preserve">This RFQ will be evaluated </w:t>
            </w:r>
            <w:proofErr w:type="gramStart"/>
            <w:r w:rsidRPr="00B23A80">
              <w:rPr>
                <w:rFonts w:ascii="Arial" w:hAnsi="Arial" w:cs="Arial"/>
                <w:b/>
                <w:bCs/>
                <w:sz w:val="20"/>
                <w:szCs w:val="20"/>
              </w:rPr>
              <w:t>on the basis of</w:t>
            </w:r>
            <w:proofErr w:type="gramEnd"/>
            <w:r w:rsidRPr="00B23A80">
              <w:rPr>
                <w:rFonts w:ascii="Arial" w:hAnsi="Arial" w:cs="Arial"/>
                <w:b/>
                <w:bCs/>
                <w:sz w:val="20"/>
                <w:szCs w:val="20"/>
              </w:rPr>
              <w:t xml:space="preserve">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0B7D3CE3" w14:textId="77777777" w:rsidR="008425A3" w:rsidRDefault="008425A3" w:rsidP="008425A3">
      <w:pPr>
        <w:pStyle w:val="Heading1"/>
        <w:jc w:val="both"/>
        <w:rPr>
          <w:sz w:val="22"/>
          <w:szCs w:val="22"/>
        </w:rPr>
      </w:pPr>
      <w:bookmarkStart w:id="3" w:name="_Toc511209149"/>
      <w:bookmarkStart w:id="4" w:name="_Toc395209385"/>
    </w:p>
    <w:p w14:paraId="2B662A08" w14:textId="77777777" w:rsidR="008425A3" w:rsidRDefault="008425A3">
      <w:pPr>
        <w:rPr>
          <w:rFonts w:ascii="Arial" w:eastAsia="Times New Roman" w:hAnsi="Arial" w:cs="Arial"/>
          <w:b/>
          <w:bCs/>
          <w:kern w:val="32"/>
          <w:sz w:val="22"/>
          <w:szCs w:val="22"/>
        </w:rPr>
      </w:pPr>
      <w:r>
        <w:rPr>
          <w:sz w:val="22"/>
          <w:szCs w:val="22"/>
        </w:rPr>
        <w:br w:type="page"/>
      </w:r>
    </w:p>
    <w:p w14:paraId="43B4994C" w14:textId="5E959446" w:rsidR="0024405D" w:rsidRPr="00144CC5" w:rsidRDefault="00C525BF" w:rsidP="00144CC5">
      <w:pPr>
        <w:pStyle w:val="Heading1"/>
        <w:numPr>
          <w:ilvl w:val="0"/>
          <w:numId w:val="2"/>
        </w:numPr>
        <w:ind w:left="540" w:hanging="540"/>
        <w:jc w:val="both"/>
        <w:rPr>
          <w:sz w:val="22"/>
          <w:szCs w:val="22"/>
        </w:rPr>
      </w:pPr>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ATNS strives for safer airspace by providing orderly, expeditious and efficient management of Air Traffic Management Services. The company operates at 21 aerodromes within South Africa, including OR Tambo, Cape Town and King Shaka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354642F0" w14:textId="38CD1447" w:rsidR="008425A3" w:rsidRDefault="008425A3" w:rsidP="008425A3">
      <w:pPr>
        <w:jc w:val="both"/>
        <w:rPr>
          <w:rFonts w:ascii="Arial" w:hAnsi="Arial" w:cs="Arial"/>
          <w:b/>
          <w:bCs/>
          <w:caps/>
        </w:rPr>
      </w:pPr>
      <w:r w:rsidRPr="008425A3">
        <w:rPr>
          <w:rFonts w:ascii="Arial" w:hAnsi="Arial" w:cs="Arial"/>
          <w:b/>
          <w:bCs/>
          <w:caps/>
        </w:rPr>
        <w:t xml:space="preserve">Request for QUOTATION FOR THE SUPPLY AND DELIVERY OF </w:t>
      </w:r>
      <w:r w:rsidR="00F8154F">
        <w:rPr>
          <w:rFonts w:ascii="Arial" w:hAnsi="Arial" w:cs="Arial"/>
          <w:b/>
          <w:bCs/>
          <w:caps/>
        </w:rPr>
        <w:t>lUANDA</w:t>
      </w:r>
      <w:r w:rsidR="00737E07">
        <w:rPr>
          <w:rFonts w:ascii="Arial" w:hAnsi="Arial" w:cs="Arial"/>
          <w:b/>
          <w:bCs/>
          <w:caps/>
        </w:rPr>
        <w:t xml:space="preserve"> </w:t>
      </w:r>
      <w:r w:rsidRPr="008425A3">
        <w:rPr>
          <w:rFonts w:ascii="Arial" w:hAnsi="Arial" w:cs="Arial"/>
          <w:b/>
          <w:bCs/>
          <w:caps/>
        </w:rPr>
        <w:t>VSAT TERMINAL MODEMS.</w:t>
      </w:r>
    </w:p>
    <w:p w14:paraId="651FCF2D" w14:textId="77777777" w:rsidR="008425A3" w:rsidRPr="008425A3" w:rsidRDefault="008425A3" w:rsidP="008425A3">
      <w:pPr>
        <w:jc w:val="both"/>
        <w:rPr>
          <w:rFonts w:ascii="Arial" w:hAnsi="Arial" w:cs="Arial"/>
          <w:b/>
          <w:bCs/>
          <w:caps/>
        </w:rPr>
      </w:pPr>
    </w:p>
    <w:p w14:paraId="3E524136" w14:textId="348A3755" w:rsidR="00B23A80" w:rsidRPr="00B23A80" w:rsidRDefault="00DA18BB" w:rsidP="00B23A80">
      <w:pPr>
        <w:jc w:val="both"/>
        <w:rPr>
          <w:rFonts w:ascii="Arial" w:hAnsi="Arial" w:cs="Arial"/>
          <w:b/>
        </w:rPr>
      </w:pPr>
      <w:r w:rsidRPr="00DA18BB">
        <w:rPr>
          <w:noProof/>
        </w:rPr>
        <w:drawing>
          <wp:inline distT="0" distB="0" distL="0" distR="0" wp14:anchorId="3A94B90F" wp14:editId="5539005C">
            <wp:extent cx="5756275"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962025"/>
                    </a:xfrm>
                    <a:prstGeom prst="rect">
                      <a:avLst/>
                    </a:prstGeom>
                    <a:noFill/>
                    <a:ln>
                      <a:noFill/>
                    </a:ln>
                  </pic:spPr>
                </pic:pic>
              </a:graphicData>
            </a:graphic>
          </wp:inline>
        </w:drawing>
      </w:r>
    </w:p>
    <w:p w14:paraId="5709141E" w14:textId="424C2BDC" w:rsidR="00AC4864" w:rsidRDefault="00AC4864" w:rsidP="00144CC5">
      <w:pPr>
        <w:jc w:val="both"/>
        <w:rPr>
          <w:rFonts w:ascii="Arial" w:hAnsi="Arial" w:cs="Arial"/>
          <w:sz w:val="22"/>
          <w:szCs w:val="22"/>
        </w:rPr>
      </w:pP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w:t>
      </w:r>
      <w:proofErr w:type="spellStart"/>
      <w:r w:rsidRPr="00144CC5">
        <w:rPr>
          <w:rFonts w:ascii="Arial" w:hAnsi="Arial" w:cs="Arial"/>
        </w:rPr>
        <w:t>labour</w:t>
      </w:r>
      <w:proofErr w:type="spellEnd"/>
      <w:r w:rsidRPr="00144CC5">
        <w:rPr>
          <w:rFonts w:ascii="Arial" w:hAnsi="Arial" w:cs="Arial"/>
        </w:rPr>
        <w:t xml:space="preserve">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2A8C7123"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737E07">
        <w:rPr>
          <w:rFonts w:eastAsia="Calibri"/>
          <w:b w:val="0"/>
          <w:sz w:val="22"/>
          <w:szCs w:val="22"/>
        </w:rPr>
        <w:t>three</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0012EA">
        <w:rPr>
          <w:rFonts w:ascii="Arial" w:hAnsi="Arial"/>
          <w:color w:val="auto"/>
          <w:sz w:val="22"/>
          <w:szCs w:val="22"/>
        </w:rPr>
        <w:t>favourably</w:t>
      </w:r>
      <w:proofErr w:type="spellEnd"/>
      <w:r w:rsidRPr="000012EA">
        <w:rPr>
          <w:rFonts w:ascii="Arial" w:hAnsi="Arial"/>
          <w:color w:val="auto"/>
          <w:sz w:val="22"/>
          <w:szCs w:val="22"/>
        </w:rPr>
        <w:t xml:space="preserve"> by the Company during the Bid evaluation process.</w:t>
      </w:r>
    </w:p>
    <w:p w14:paraId="2D578D85" w14:textId="7D25CA50" w:rsidR="000012EA" w:rsidRPr="00F7300C" w:rsidRDefault="000012EA" w:rsidP="00F7300C">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w:t>
      </w:r>
      <w:proofErr w:type="spellStart"/>
      <w:r w:rsidRPr="000012EA">
        <w:rPr>
          <w:rFonts w:ascii="Arial" w:hAnsi="Arial"/>
          <w:color w:val="auto"/>
          <w:sz w:val="22"/>
          <w:szCs w:val="22"/>
        </w:rPr>
        <w:t>Organisation</w:t>
      </w:r>
      <w:proofErr w:type="spellEnd"/>
      <w:r w:rsidRPr="000012EA">
        <w:rPr>
          <w:rFonts w:ascii="Arial" w:hAnsi="Arial"/>
          <w:color w:val="auto"/>
          <w:sz w:val="22"/>
          <w:szCs w:val="22"/>
        </w:rPr>
        <w:t xml:space="preserve">/or foreign supplier in order to meet the policy requirements. Failure to submit agreement will result in a disqualification. </w:t>
      </w: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613B0118" w:rsidR="000012EA" w:rsidRPr="000012EA" w:rsidRDefault="008425A3" w:rsidP="000012EA">
            <w:pPr>
              <w:jc w:val="both"/>
              <w:rPr>
                <w:rFonts w:ascii="Arial" w:hAnsi="Arial" w:cs="Arial"/>
                <w:sz w:val="20"/>
                <w:szCs w:val="20"/>
              </w:rPr>
            </w:pPr>
            <w:r>
              <w:rPr>
                <w:rFonts w:ascii="Arial" w:hAnsi="Arial" w:cs="Arial"/>
                <w:sz w:val="20"/>
                <w:szCs w:val="20"/>
              </w:rPr>
              <w:t>Modem Technical Specification datasheet</w:t>
            </w:r>
            <w:r w:rsidR="000012EA" w:rsidRPr="000012EA">
              <w:rPr>
                <w:rFonts w:ascii="Arial" w:hAnsi="Arial" w:cs="Arial"/>
                <w:sz w:val="20"/>
                <w:szCs w:val="20"/>
              </w:rPr>
              <w:t xml:space="preserve"> </w:t>
            </w:r>
            <w:r w:rsidR="000012EA"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bl>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79311C2" w14:textId="70580E34" w:rsidR="00875C4F" w:rsidRPr="00144CC5" w:rsidRDefault="00F7300C" w:rsidP="00144CC5">
      <w:pPr>
        <w:pStyle w:val="Heading1"/>
        <w:numPr>
          <w:ilvl w:val="2"/>
          <w:numId w:val="2"/>
        </w:numPr>
        <w:spacing w:before="120" w:after="120"/>
        <w:jc w:val="both"/>
        <w:rPr>
          <w:sz w:val="22"/>
          <w:szCs w:val="22"/>
        </w:rPr>
      </w:pPr>
      <w:r>
        <w:rPr>
          <w:rFonts w:eastAsia="Calibri"/>
          <w:bCs w:val="0"/>
          <w:sz w:val="22"/>
          <w:szCs w:val="22"/>
          <w:lang w:val="en-ZA"/>
        </w:rPr>
        <w:t>Third</w:t>
      </w:r>
      <w:r w:rsidR="000012EA">
        <w:rPr>
          <w:rFonts w:eastAsia="Calibri"/>
          <w:bCs w:val="0"/>
          <w:sz w:val="22"/>
          <w:szCs w:val="22"/>
          <w:lang w:val="en-ZA"/>
        </w:rPr>
        <w:t xml:space="preserve"> </w:t>
      </w:r>
      <w:r w:rsidR="00404C12" w:rsidRPr="00404C12">
        <w:rPr>
          <w:rFonts w:eastAsia="Calibri"/>
          <w:bCs w:val="0"/>
          <w:sz w:val="22"/>
          <w:szCs w:val="22"/>
          <w:lang w:val="en-ZA"/>
        </w:rPr>
        <w:t>stage</w:t>
      </w:r>
      <w:r w:rsidR="003E10AB" w:rsidRPr="00144CC5">
        <w:rPr>
          <w:rFonts w:eastAsia="Calibri"/>
          <w:b w:val="0"/>
          <w:sz w:val="22"/>
          <w:szCs w:val="22"/>
          <w:lang w:val="en-ZA"/>
        </w:rPr>
        <w:t xml:space="preserve">- Price/B-BBEE Evaluation, Bids will be evaluated in terms of the 80/20 preference point system, where a maximum of 80 points are allocated for price and </w:t>
      </w:r>
      <w:r w:rsidR="003E10AB" w:rsidRPr="00144CC5">
        <w:rPr>
          <w:rFonts w:eastAsia="Calibri"/>
          <w:b w:val="0"/>
          <w:sz w:val="22"/>
          <w:szCs w:val="22"/>
          <w:lang w:val="en-ZA"/>
        </w:rPr>
        <w:lastRenderedPageBreak/>
        <w:t>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7ABA16E"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lastRenderedPageBreak/>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77777777"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Procurement Specialist: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4E80BCF2" w:rsidR="00217FFA" w:rsidRPr="00144CC5" w:rsidRDefault="00144136" w:rsidP="00144CC5">
            <w:pPr>
              <w:keepNext/>
              <w:spacing w:before="40" w:after="40"/>
              <w:jc w:val="both"/>
              <w:rPr>
                <w:rFonts w:ascii="Arial" w:hAnsi="Arial" w:cs="Arial"/>
                <w:sz w:val="22"/>
                <w:szCs w:val="22"/>
                <w:lang w:val="en-ZA"/>
              </w:rPr>
            </w:pPr>
            <w:r>
              <w:rPr>
                <w:rFonts w:ascii="Arial" w:hAnsi="Arial" w:cs="Arial"/>
                <w:sz w:val="22"/>
                <w:szCs w:val="22"/>
                <w:lang w:val="en-ZA"/>
              </w:rPr>
              <w:t>07</w:t>
            </w:r>
            <w:r w:rsidRPr="00144136">
              <w:rPr>
                <w:rFonts w:ascii="Arial" w:hAnsi="Arial" w:cs="Arial"/>
                <w:sz w:val="22"/>
                <w:szCs w:val="22"/>
                <w:vertAlign w:val="superscript"/>
                <w:lang w:val="en-ZA"/>
              </w:rPr>
              <w:t>th</w:t>
            </w:r>
            <w:r>
              <w:rPr>
                <w:rFonts w:ascii="Arial" w:hAnsi="Arial" w:cs="Arial"/>
                <w:sz w:val="22"/>
                <w:szCs w:val="22"/>
                <w:lang w:val="en-ZA"/>
              </w:rPr>
              <w:t xml:space="preserve"> November</w:t>
            </w:r>
            <w:bookmarkStart w:id="8" w:name="_GoBack"/>
            <w:bookmarkEnd w:id="8"/>
            <w:r w:rsidR="000012EA">
              <w:rPr>
                <w:rFonts w:ascii="Arial" w:hAnsi="Arial" w:cs="Arial"/>
                <w:sz w:val="22"/>
                <w:szCs w:val="22"/>
                <w:lang w:val="en-ZA"/>
              </w:rPr>
              <w:t xml:space="preserve">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385240"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E5FF" w14:textId="77777777" w:rsidR="00385240" w:rsidRDefault="00385240" w:rsidP="0098671E">
      <w:r>
        <w:separator/>
      </w:r>
    </w:p>
  </w:endnote>
  <w:endnote w:type="continuationSeparator" w:id="0">
    <w:p w14:paraId="7E3A1C9B" w14:textId="77777777" w:rsidR="00385240" w:rsidRDefault="0038524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1E474701" w:rsidR="00E703FC" w:rsidRPr="008425A3" w:rsidRDefault="00B23A80" w:rsidP="003E38BA">
          <w:pPr>
            <w:pStyle w:val="Footer"/>
            <w:tabs>
              <w:tab w:val="clear" w:pos="8640"/>
              <w:tab w:val="left" w:pos="360"/>
              <w:tab w:val="right" w:pos="6946"/>
            </w:tabs>
            <w:ind w:right="344"/>
            <w:jc w:val="center"/>
            <w:rPr>
              <w:rFonts w:ascii="Arial" w:hAnsi="Arial" w:cs="Arial"/>
              <w:bCs/>
              <w:sz w:val="16"/>
              <w:szCs w:val="16"/>
            </w:rPr>
          </w:pPr>
          <w:r w:rsidRPr="008425A3">
            <w:rPr>
              <w:rFonts w:ascii="Arial" w:hAnsi="Arial" w:cs="Arial"/>
              <w:sz w:val="16"/>
              <w:szCs w:val="16"/>
            </w:rPr>
            <w:t>ATNS-</w:t>
          </w:r>
          <w:r w:rsidR="008425A3" w:rsidRPr="008425A3">
            <w:rPr>
              <w:rFonts w:ascii="Arial" w:hAnsi="Arial" w:cs="Arial"/>
              <w:sz w:val="16"/>
              <w:szCs w:val="16"/>
            </w:rPr>
            <w:t>CS</w:t>
          </w:r>
          <w:r w:rsidRPr="008425A3">
            <w:rPr>
              <w:rFonts w:ascii="Arial" w:hAnsi="Arial" w:cs="Arial"/>
              <w:sz w:val="16"/>
              <w:szCs w:val="16"/>
            </w:rPr>
            <w:t xml:space="preserve">- </w:t>
          </w:r>
          <w:r w:rsidR="00F8154F">
            <w:rPr>
              <w:rFonts w:ascii="Arial" w:hAnsi="Arial" w:cs="Arial"/>
              <w:sz w:val="16"/>
              <w:szCs w:val="16"/>
            </w:rPr>
            <w:t xml:space="preserve">LUANDA </w:t>
          </w:r>
          <w:r w:rsidRPr="008425A3">
            <w:rPr>
              <w:rFonts w:ascii="Arial" w:hAnsi="Arial" w:cs="Arial"/>
              <w:sz w:val="16"/>
              <w:szCs w:val="16"/>
            </w:rPr>
            <w:t>VSAT</w:t>
          </w:r>
          <w:r w:rsidR="008425A3" w:rsidRPr="008425A3">
            <w:rPr>
              <w:rFonts w:ascii="Arial" w:hAnsi="Arial" w:cs="Arial"/>
              <w:sz w:val="16"/>
              <w:szCs w:val="16"/>
            </w:rPr>
            <w:t xml:space="preserve"> MODEM</w:t>
          </w:r>
          <w:r w:rsidRPr="008425A3">
            <w:rPr>
              <w:rFonts w:ascii="Arial" w:hAnsi="Arial" w:cs="Arial"/>
              <w:sz w:val="16"/>
              <w:szCs w:val="16"/>
            </w:rPr>
            <w:t>-220922</w:t>
          </w:r>
        </w:p>
      </w:tc>
      <w:tc>
        <w:tcPr>
          <w:tcW w:w="2845" w:type="dxa"/>
          <w:tcBorders>
            <w:bottom w:val="single" w:sz="4" w:space="0" w:color="auto"/>
          </w:tcBorders>
          <w:vAlign w:val="center"/>
        </w:tcPr>
        <w:p w14:paraId="1046A552" w14:textId="77777777" w:rsidR="00E703FC" w:rsidRPr="008425A3" w:rsidRDefault="00E703FC" w:rsidP="001B65B5">
          <w:pPr>
            <w:pStyle w:val="Footer"/>
            <w:tabs>
              <w:tab w:val="clear" w:pos="8640"/>
              <w:tab w:val="left" w:pos="360"/>
              <w:tab w:val="right" w:pos="6946"/>
            </w:tabs>
            <w:ind w:right="344"/>
            <w:jc w:val="center"/>
            <w:rPr>
              <w:rFonts w:ascii="Arial" w:hAnsi="Arial" w:cs="Arial"/>
              <w:sz w:val="16"/>
              <w:szCs w:val="16"/>
            </w:rPr>
          </w:pPr>
          <w:r w:rsidRPr="008425A3">
            <w:rPr>
              <w:rFonts w:ascii="Arial" w:hAnsi="Arial" w:cs="Arial"/>
              <w:sz w:val="16"/>
              <w:szCs w:val="16"/>
            </w:rPr>
            <w:t xml:space="preserve">Page </w:t>
          </w:r>
          <w:r w:rsidRPr="008425A3">
            <w:rPr>
              <w:rFonts w:ascii="Arial" w:hAnsi="Arial" w:cs="Arial"/>
              <w:sz w:val="16"/>
              <w:szCs w:val="16"/>
            </w:rPr>
            <w:fldChar w:fldCharType="begin"/>
          </w:r>
          <w:r w:rsidRPr="008425A3">
            <w:rPr>
              <w:rFonts w:ascii="Arial" w:hAnsi="Arial" w:cs="Arial"/>
              <w:sz w:val="16"/>
              <w:szCs w:val="16"/>
            </w:rPr>
            <w:instrText xml:space="preserve"> PAGE </w:instrText>
          </w:r>
          <w:r w:rsidRPr="008425A3">
            <w:rPr>
              <w:rFonts w:ascii="Arial" w:hAnsi="Arial" w:cs="Arial"/>
              <w:sz w:val="16"/>
              <w:szCs w:val="16"/>
            </w:rPr>
            <w:fldChar w:fldCharType="separate"/>
          </w:r>
          <w:r w:rsidRPr="008425A3">
            <w:rPr>
              <w:rFonts w:ascii="Arial" w:hAnsi="Arial" w:cs="Arial"/>
              <w:sz w:val="16"/>
              <w:szCs w:val="16"/>
            </w:rPr>
            <w:t>7</w:t>
          </w:r>
          <w:r w:rsidRPr="008425A3">
            <w:rPr>
              <w:rFonts w:ascii="Arial" w:hAnsi="Arial" w:cs="Arial"/>
              <w:sz w:val="16"/>
              <w:szCs w:val="16"/>
            </w:rPr>
            <w:fldChar w:fldCharType="end"/>
          </w:r>
          <w:r w:rsidRPr="008425A3">
            <w:rPr>
              <w:rFonts w:ascii="Arial" w:hAnsi="Arial" w:cs="Arial"/>
              <w:sz w:val="16"/>
              <w:szCs w:val="16"/>
            </w:rPr>
            <w:t xml:space="preserve"> of </w:t>
          </w:r>
          <w:r w:rsidRPr="008425A3">
            <w:rPr>
              <w:rFonts w:ascii="Arial" w:hAnsi="Arial" w:cs="Arial"/>
              <w:sz w:val="16"/>
              <w:szCs w:val="16"/>
            </w:rPr>
            <w:fldChar w:fldCharType="begin"/>
          </w:r>
          <w:r w:rsidRPr="008425A3">
            <w:rPr>
              <w:rFonts w:ascii="Arial" w:hAnsi="Arial" w:cs="Arial"/>
              <w:sz w:val="16"/>
              <w:szCs w:val="16"/>
            </w:rPr>
            <w:instrText xml:space="preserve"> NUMPAGES  </w:instrText>
          </w:r>
          <w:r w:rsidRPr="008425A3">
            <w:rPr>
              <w:rFonts w:ascii="Arial" w:hAnsi="Arial" w:cs="Arial"/>
              <w:sz w:val="16"/>
              <w:szCs w:val="16"/>
            </w:rPr>
            <w:fldChar w:fldCharType="separate"/>
          </w:r>
          <w:r w:rsidRPr="008425A3">
            <w:rPr>
              <w:rFonts w:ascii="Arial" w:hAnsi="Arial" w:cs="Arial"/>
              <w:sz w:val="16"/>
              <w:szCs w:val="16"/>
            </w:rPr>
            <w:t>7</w:t>
          </w:r>
          <w:r w:rsidRPr="008425A3">
            <w:rPr>
              <w:rFonts w:ascii="Arial" w:hAnsi="Arial" w:cs="Arial"/>
              <w:sz w:val="16"/>
              <w:szCs w:val="16"/>
            </w:rPr>
            <w:fldChar w:fldCharType="end"/>
          </w:r>
        </w:p>
      </w:tc>
      <w:tc>
        <w:tcPr>
          <w:tcW w:w="3260" w:type="dxa"/>
          <w:tcBorders>
            <w:bottom w:val="single" w:sz="4" w:space="0" w:color="auto"/>
          </w:tcBorders>
          <w:vAlign w:val="center"/>
        </w:tcPr>
        <w:p w14:paraId="0140ED4B" w14:textId="698DC133" w:rsidR="00E703FC" w:rsidRPr="008425A3" w:rsidRDefault="00B23A80" w:rsidP="00C806AD">
          <w:pPr>
            <w:pStyle w:val="Footer"/>
            <w:tabs>
              <w:tab w:val="clear" w:pos="8640"/>
              <w:tab w:val="left" w:pos="360"/>
              <w:tab w:val="right" w:pos="6946"/>
            </w:tabs>
            <w:ind w:right="344"/>
            <w:jc w:val="center"/>
            <w:rPr>
              <w:rFonts w:ascii="Arial" w:hAnsi="Arial" w:cs="Arial"/>
              <w:sz w:val="16"/>
              <w:szCs w:val="16"/>
            </w:rPr>
          </w:pPr>
          <w:r w:rsidRPr="008425A3">
            <w:rPr>
              <w:rFonts w:ascii="Arial" w:hAnsi="Arial" w:cs="Arial"/>
              <w:sz w:val="16"/>
              <w:szCs w:val="16"/>
            </w:rPr>
            <w:t>2</w:t>
          </w:r>
          <w:r w:rsidR="008425A3" w:rsidRPr="008425A3">
            <w:rPr>
              <w:rFonts w:ascii="Arial" w:hAnsi="Arial" w:cs="Arial"/>
              <w:sz w:val="16"/>
              <w:szCs w:val="16"/>
            </w:rPr>
            <w:t>6</w:t>
          </w:r>
          <w:r w:rsidRPr="008425A3">
            <w:rPr>
              <w:rFonts w:ascii="Arial" w:hAnsi="Arial" w:cs="Arial"/>
              <w:sz w:val="16"/>
              <w:szCs w:val="16"/>
            </w:rPr>
            <w:t xml:space="preserve"> </w:t>
          </w:r>
          <w:r w:rsidR="008425A3" w:rsidRPr="008425A3">
            <w:rPr>
              <w:rFonts w:ascii="Arial" w:hAnsi="Arial" w:cs="Arial"/>
              <w:sz w:val="16"/>
              <w:szCs w:val="16"/>
            </w:rPr>
            <w:t>OCTOBER</w:t>
          </w:r>
          <w:r w:rsidRPr="008425A3">
            <w:rPr>
              <w:rFonts w:ascii="Arial" w:hAnsi="Arial" w:cs="Arial"/>
              <w:sz w:val="16"/>
              <w:szCs w:val="16"/>
            </w:rPr>
            <w:t xml:space="preserve">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5CEF" w14:textId="77777777" w:rsidR="00385240" w:rsidRDefault="00385240" w:rsidP="0098671E">
      <w:r>
        <w:separator/>
      </w:r>
    </w:p>
  </w:footnote>
  <w:footnote w:type="continuationSeparator" w:id="0">
    <w:p w14:paraId="265A613A" w14:textId="77777777" w:rsidR="00385240" w:rsidRDefault="00385240"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136"/>
    <w:rsid w:val="00144C05"/>
    <w:rsid w:val="00144CC5"/>
    <w:rsid w:val="00147EE6"/>
    <w:rsid w:val="001530D4"/>
    <w:rsid w:val="001626DC"/>
    <w:rsid w:val="001703F2"/>
    <w:rsid w:val="0017445A"/>
    <w:rsid w:val="00177085"/>
    <w:rsid w:val="00177C28"/>
    <w:rsid w:val="00196223"/>
    <w:rsid w:val="00197C3F"/>
    <w:rsid w:val="001B425D"/>
    <w:rsid w:val="001B5992"/>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45B6"/>
    <w:rsid w:val="002810E7"/>
    <w:rsid w:val="002877A1"/>
    <w:rsid w:val="00294C74"/>
    <w:rsid w:val="002A0F4C"/>
    <w:rsid w:val="002B047E"/>
    <w:rsid w:val="002B233C"/>
    <w:rsid w:val="002B2405"/>
    <w:rsid w:val="002F572A"/>
    <w:rsid w:val="002F63DC"/>
    <w:rsid w:val="00303D0D"/>
    <w:rsid w:val="0032170B"/>
    <w:rsid w:val="00332AE0"/>
    <w:rsid w:val="00350B6D"/>
    <w:rsid w:val="00351FDF"/>
    <w:rsid w:val="00352E96"/>
    <w:rsid w:val="00361E1A"/>
    <w:rsid w:val="00365699"/>
    <w:rsid w:val="003772E2"/>
    <w:rsid w:val="00385240"/>
    <w:rsid w:val="00386B2D"/>
    <w:rsid w:val="00392873"/>
    <w:rsid w:val="00395731"/>
    <w:rsid w:val="00396215"/>
    <w:rsid w:val="003C7337"/>
    <w:rsid w:val="003E10AB"/>
    <w:rsid w:val="003E2F73"/>
    <w:rsid w:val="003E38BA"/>
    <w:rsid w:val="004031CB"/>
    <w:rsid w:val="00404C12"/>
    <w:rsid w:val="0040750A"/>
    <w:rsid w:val="00411C39"/>
    <w:rsid w:val="004237B5"/>
    <w:rsid w:val="004412EC"/>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37E07"/>
    <w:rsid w:val="007518E7"/>
    <w:rsid w:val="00765A71"/>
    <w:rsid w:val="00771F6F"/>
    <w:rsid w:val="007764F5"/>
    <w:rsid w:val="007832C2"/>
    <w:rsid w:val="007B5CF8"/>
    <w:rsid w:val="007B6575"/>
    <w:rsid w:val="007C4D68"/>
    <w:rsid w:val="007C55D0"/>
    <w:rsid w:val="007E4CAF"/>
    <w:rsid w:val="007F1EC4"/>
    <w:rsid w:val="007F4153"/>
    <w:rsid w:val="00810390"/>
    <w:rsid w:val="0082187B"/>
    <w:rsid w:val="008262D5"/>
    <w:rsid w:val="00827AED"/>
    <w:rsid w:val="00833575"/>
    <w:rsid w:val="008425A3"/>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11318"/>
    <w:rsid w:val="009132AD"/>
    <w:rsid w:val="009305AD"/>
    <w:rsid w:val="00941D41"/>
    <w:rsid w:val="00944CB3"/>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F1CB7"/>
    <w:rsid w:val="00C06A54"/>
    <w:rsid w:val="00C133EE"/>
    <w:rsid w:val="00C344D9"/>
    <w:rsid w:val="00C34DA9"/>
    <w:rsid w:val="00C37069"/>
    <w:rsid w:val="00C47D32"/>
    <w:rsid w:val="00C525BF"/>
    <w:rsid w:val="00C75F47"/>
    <w:rsid w:val="00C806AD"/>
    <w:rsid w:val="00C90751"/>
    <w:rsid w:val="00C95AA6"/>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A18BB"/>
    <w:rsid w:val="00DC66DB"/>
    <w:rsid w:val="00DD461B"/>
    <w:rsid w:val="00DF61E4"/>
    <w:rsid w:val="00DF6E55"/>
    <w:rsid w:val="00E03641"/>
    <w:rsid w:val="00E14DE7"/>
    <w:rsid w:val="00E33327"/>
    <w:rsid w:val="00E33393"/>
    <w:rsid w:val="00E6294D"/>
    <w:rsid w:val="00E63DF5"/>
    <w:rsid w:val="00E6684C"/>
    <w:rsid w:val="00E703FC"/>
    <w:rsid w:val="00E7307A"/>
    <w:rsid w:val="00E7572E"/>
    <w:rsid w:val="00E81312"/>
    <w:rsid w:val="00E81D3E"/>
    <w:rsid w:val="00E90A44"/>
    <w:rsid w:val="00E95C86"/>
    <w:rsid w:val="00EB07D5"/>
    <w:rsid w:val="00EB0EFC"/>
    <w:rsid w:val="00EF09DB"/>
    <w:rsid w:val="00EF6471"/>
    <w:rsid w:val="00F055A1"/>
    <w:rsid w:val="00F33A0E"/>
    <w:rsid w:val="00F4389C"/>
    <w:rsid w:val="00F5413B"/>
    <w:rsid w:val="00F667EF"/>
    <w:rsid w:val="00F7300C"/>
    <w:rsid w:val="00F7772E"/>
    <w:rsid w:val="00F80280"/>
    <w:rsid w:val="00F8154F"/>
    <w:rsid w:val="00F82B2C"/>
    <w:rsid w:val="00F82BCA"/>
    <w:rsid w:val="00F832E7"/>
    <w:rsid w:val="00F84C38"/>
    <w:rsid w:val="00F90370"/>
    <w:rsid w:val="00F94D54"/>
    <w:rsid w:val="00F97C50"/>
    <w:rsid w:val="00FA52C9"/>
    <w:rsid w:val="00FA666C"/>
    <w:rsid w:val="00FB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2.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dcterms:created xsi:type="dcterms:W3CDTF">2022-10-26T10:26:00Z</dcterms:created>
  <dcterms:modified xsi:type="dcterms:W3CDTF">2022-10-26T10:26:00Z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