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2577A" w14:textId="68E38272" w:rsidR="008C3D2C" w:rsidRDefault="008C3D2C" w:rsidP="008C3D2C">
      <w:pPr>
        <w:autoSpaceDE w:val="0"/>
        <w:autoSpaceDN w:val="0"/>
        <w:adjustRightInd w:val="0"/>
        <w:jc w:val="left"/>
        <w:rPr>
          <w:rFonts w:cs="Arial"/>
          <w:szCs w:val="20"/>
        </w:rPr>
      </w:pPr>
    </w:p>
    <w:tbl>
      <w:tblPr>
        <w:tblStyle w:val="TableGrid"/>
        <w:tblW w:w="13603" w:type="dxa"/>
        <w:tblLook w:val="04A0" w:firstRow="1" w:lastRow="0" w:firstColumn="1" w:lastColumn="0" w:noHBand="0" w:noVBand="1"/>
      </w:tblPr>
      <w:tblGrid>
        <w:gridCol w:w="557"/>
        <w:gridCol w:w="2401"/>
        <w:gridCol w:w="5542"/>
        <w:gridCol w:w="5103"/>
      </w:tblGrid>
      <w:tr w:rsidR="008C3D2C" w:rsidRPr="008C3D2C" w14:paraId="406BB187" w14:textId="77777777" w:rsidTr="00BE4CA3">
        <w:tc>
          <w:tcPr>
            <w:tcW w:w="557" w:type="dxa"/>
          </w:tcPr>
          <w:p w14:paraId="278EEE48" w14:textId="5E4FBDB2" w:rsidR="008C3D2C" w:rsidRPr="008C3D2C" w:rsidRDefault="008C3D2C" w:rsidP="008C3D2C">
            <w:pPr>
              <w:autoSpaceDE w:val="0"/>
              <w:autoSpaceDN w:val="0"/>
              <w:adjustRightInd w:val="0"/>
              <w:jc w:val="left"/>
              <w:rPr>
                <w:rFonts w:cs="Arial"/>
                <w:b/>
                <w:bCs/>
                <w:szCs w:val="20"/>
              </w:rPr>
            </w:pPr>
            <w:r w:rsidRPr="008C3D2C">
              <w:rPr>
                <w:rFonts w:cs="Arial"/>
                <w:b/>
                <w:bCs/>
                <w:szCs w:val="20"/>
              </w:rPr>
              <w:t>No.</w:t>
            </w:r>
          </w:p>
        </w:tc>
        <w:tc>
          <w:tcPr>
            <w:tcW w:w="2401" w:type="dxa"/>
          </w:tcPr>
          <w:p w14:paraId="3DCFD555" w14:textId="77777777" w:rsidR="00385491" w:rsidRDefault="008C3D2C" w:rsidP="00385491">
            <w:pPr>
              <w:autoSpaceDE w:val="0"/>
              <w:autoSpaceDN w:val="0"/>
              <w:adjustRightInd w:val="0"/>
              <w:jc w:val="center"/>
              <w:rPr>
                <w:rFonts w:cs="Arial"/>
                <w:b/>
                <w:bCs/>
                <w:szCs w:val="20"/>
              </w:rPr>
            </w:pPr>
            <w:r w:rsidRPr="008C3D2C">
              <w:rPr>
                <w:rFonts w:cs="Arial"/>
                <w:b/>
                <w:bCs/>
                <w:szCs w:val="20"/>
              </w:rPr>
              <w:t>Paragraph No.</w:t>
            </w:r>
            <w:r w:rsidR="00385491">
              <w:rPr>
                <w:rFonts w:cs="Arial"/>
                <w:b/>
                <w:bCs/>
                <w:szCs w:val="20"/>
              </w:rPr>
              <w:t xml:space="preserve"> </w:t>
            </w:r>
            <w:r w:rsidRPr="008C3D2C">
              <w:rPr>
                <w:rFonts w:cs="Arial"/>
                <w:b/>
                <w:bCs/>
                <w:szCs w:val="20"/>
              </w:rPr>
              <w:t>in RFT</w:t>
            </w:r>
          </w:p>
          <w:p w14:paraId="2F042493" w14:textId="26EF1A47" w:rsidR="008C3D2C" w:rsidRPr="008C3D2C" w:rsidRDefault="008C3D2C" w:rsidP="00385491">
            <w:pPr>
              <w:autoSpaceDE w:val="0"/>
              <w:autoSpaceDN w:val="0"/>
              <w:adjustRightInd w:val="0"/>
              <w:jc w:val="center"/>
              <w:rPr>
                <w:rFonts w:cs="Arial"/>
                <w:b/>
                <w:bCs/>
                <w:szCs w:val="20"/>
              </w:rPr>
            </w:pPr>
            <w:r w:rsidRPr="008C3D2C">
              <w:rPr>
                <w:rFonts w:cs="Arial"/>
                <w:b/>
                <w:bCs/>
                <w:szCs w:val="20"/>
              </w:rPr>
              <w:t>or</w:t>
            </w:r>
          </w:p>
          <w:p w14:paraId="3158187F" w14:textId="2104D1DC" w:rsidR="008C3D2C" w:rsidRPr="008C3D2C" w:rsidRDefault="008C3D2C" w:rsidP="00385491">
            <w:pPr>
              <w:autoSpaceDE w:val="0"/>
              <w:autoSpaceDN w:val="0"/>
              <w:adjustRightInd w:val="0"/>
              <w:jc w:val="center"/>
              <w:rPr>
                <w:rFonts w:cs="Arial"/>
                <w:b/>
                <w:bCs/>
                <w:szCs w:val="20"/>
              </w:rPr>
            </w:pPr>
            <w:r w:rsidRPr="008C3D2C">
              <w:rPr>
                <w:rFonts w:cs="Arial"/>
                <w:b/>
                <w:bCs/>
                <w:szCs w:val="20"/>
              </w:rPr>
              <w:t>Bid Document</w:t>
            </w:r>
          </w:p>
        </w:tc>
        <w:tc>
          <w:tcPr>
            <w:tcW w:w="5542" w:type="dxa"/>
          </w:tcPr>
          <w:p w14:paraId="1BB09FE6" w14:textId="5773984B" w:rsidR="008C3D2C" w:rsidRPr="008C3D2C" w:rsidRDefault="008C3D2C" w:rsidP="00385491">
            <w:pPr>
              <w:autoSpaceDE w:val="0"/>
              <w:autoSpaceDN w:val="0"/>
              <w:adjustRightInd w:val="0"/>
              <w:jc w:val="left"/>
              <w:rPr>
                <w:rFonts w:cs="Arial"/>
                <w:b/>
                <w:bCs/>
                <w:szCs w:val="20"/>
              </w:rPr>
            </w:pPr>
            <w:r w:rsidRPr="008C3D2C">
              <w:rPr>
                <w:rFonts w:cs="Arial"/>
                <w:b/>
                <w:bCs/>
                <w:szCs w:val="20"/>
              </w:rPr>
              <w:t>Questions</w:t>
            </w:r>
          </w:p>
        </w:tc>
        <w:tc>
          <w:tcPr>
            <w:tcW w:w="5103" w:type="dxa"/>
          </w:tcPr>
          <w:p w14:paraId="61F2F346" w14:textId="452922B5" w:rsidR="008C3D2C" w:rsidRPr="008C3D2C" w:rsidRDefault="008C3D2C" w:rsidP="008C3D2C">
            <w:pPr>
              <w:autoSpaceDE w:val="0"/>
              <w:autoSpaceDN w:val="0"/>
              <w:adjustRightInd w:val="0"/>
              <w:jc w:val="left"/>
              <w:rPr>
                <w:rFonts w:cs="Arial"/>
                <w:b/>
                <w:bCs/>
                <w:szCs w:val="20"/>
              </w:rPr>
            </w:pPr>
            <w:r w:rsidRPr="008C3D2C">
              <w:rPr>
                <w:rFonts w:cs="Arial"/>
                <w:b/>
                <w:bCs/>
                <w:szCs w:val="20"/>
              </w:rPr>
              <w:t>Clarification Response</w:t>
            </w:r>
          </w:p>
        </w:tc>
      </w:tr>
      <w:tr w:rsidR="008C3D2C" w14:paraId="6F574328" w14:textId="77777777" w:rsidTr="00BE4CA3">
        <w:tc>
          <w:tcPr>
            <w:tcW w:w="557" w:type="dxa"/>
          </w:tcPr>
          <w:p w14:paraId="405A4F07" w14:textId="65C8682C" w:rsidR="008C3D2C" w:rsidRDefault="008C3D2C" w:rsidP="008C3D2C">
            <w:pPr>
              <w:autoSpaceDE w:val="0"/>
              <w:autoSpaceDN w:val="0"/>
              <w:adjustRightInd w:val="0"/>
              <w:jc w:val="left"/>
              <w:rPr>
                <w:rFonts w:cs="Arial"/>
                <w:szCs w:val="20"/>
              </w:rPr>
            </w:pPr>
            <w:r>
              <w:rPr>
                <w:rFonts w:cs="Arial"/>
                <w:szCs w:val="20"/>
              </w:rPr>
              <w:t>1.</w:t>
            </w:r>
          </w:p>
        </w:tc>
        <w:tc>
          <w:tcPr>
            <w:tcW w:w="2401" w:type="dxa"/>
          </w:tcPr>
          <w:p w14:paraId="639684ED" w14:textId="50DFB095" w:rsidR="008C3D2C" w:rsidRDefault="00BE4CA3" w:rsidP="00BE4CA3">
            <w:pPr>
              <w:autoSpaceDE w:val="0"/>
              <w:autoSpaceDN w:val="0"/>
              <w:adjustRightInd w:val="0"/>
              <w:jc w:val="left"/>
              <w:rPr>
                <w:rFonts w:cs="Arial"/>
                <w:szCs w:val="20"/>
              </w:rPr>
            </w:pPr>
            <w:r>
              <w:rPr>
                <w:rFonts w:cs="Arial"/>
                <w:szCs w:val="20"/>
              </w:rPr>
              <w:t>Volume 1A, Pg 5 Important Notice section, Pg 23 Volume 1 mandatory requirements</w:t>
            </w:r>
          </w:p>
        </w:tc>
        <w:tc>
          <w:tcPr>
            <w:tcW w:w="5542" w:type="dxa"/>
          </w:tcPr>
          <w:p w14:paraId="20765995" w14:textId="2DA81445" w:rsidR="008C3D2C" w:rsidRDefault="00BE4CA3" w:rsidP="00BE4CA3">
            <w:pPr>
              <w:autoSpaceDE w:val="0"/>
              <w:autoSpaceDN w:val="0"/>
              <w:adjustRightInd w:val="0"/>
              <w:rPr>
                <w:rFonts w:cs="Arial"/>
                <w:szCs w:val="20"/>
              </w:rPr>
            </w:pPr>
            <w:r>
              <w:rPr>
                <w:rFonts w:cs="Arial"/>
                <w:szCs w:val="20"/>
              </w:rPr>
              <w:t xml:space="preserve">The definition of Bidder with respect to the requirement on Pg 23 is not clear. Please clarify what ATNS means by </w:t>
            </w:r>
            <w:r>
              <w:rPr>
                <w:rFonts w:ascii="ArialMT" w:hAnsi="ArialMT" w:cs="ArialMT"/>
                <w:szCs w:val="20"/>
              </w:rPr>
              <w:t xml:space="preserve">“Bidder shall provide a customer reference list.” in the </w:t>
            </w:r>
            <w:r>
              <w:rPr>
                <w:rFonts w:cs="Arial"/>
                <w:szCs w:val="20"/>
              </w:rPr>
              <w:t>context of a Joint Venture, Partnership Agreement or Consortium. Does it imply all parties in the Joint Venture or Partnership must have this reference for ATFM deployments or it is sufficient for the local partner to submit the OEMs customer reference list for ATFM systems implemented?</w:t>
            </w:r>
          </w:p>
        </w:tc>
        <w:tc>
          <w:tcPr>
            <w:tcW w:w="5103" w:type="dxa"/>
          </w:tcPr>
          <w:p w14:paraId="61785DE4" w14:textId="77777777" w:rsidR="008C3D2C" w:rsidRDefault="00CE4B06" w:rsidP="008C3D2C">
            <w:pPr>
              <w:autoSpaceDE w:val="0"/>
              <w:autoSpaceDN w:val="0"/>
              <w:adjustRightInd w:val="0"/>
              <w:jc w:val="left"/>
              <w:rPr>
                <w:rFonts w:cs="Arial"/>
              </w:rPr>
            </w:pPr>
            <w:r>
              <w:rPr>
                <w:rFonts w:cs="Arial"/>
                <w:szCs w:val="20"/>
              </w:rPr>
              <w:t xml:space="preserve">Bidders are not forced to make JVs but only when they do not meet the </w:t>
            </w:r>
            <w:r w:rsidR="008D4060" w:rsidRPr="00E22D23">
              <w:rPr>
                <w:rFonts w:cs="Arial"/>
              </w:rPr>
              <w:t>Preferential Procurement requirements (PP)</w:t>
            </w:r>
            <w:r w:rsidR="008D4060">
              <w:rPr>
                <w:rFonts w:cs="Arial"/>
              </w:rPr>
              <w:t xml:space="preserve"> as explained below.</w:t>
            </w:r>
          </w:p>
          <w:p w14:paraId="3D19A980" w14:textId="77777777" w:rsidR="008D4060" w:rsidRDefault="008D4060" w:rsidP="008C3D2C">
            <w:pPr>
              <w:autoSpaceDE w:val="0"/>
              <w:autoSpaceDN w:val="0"/>
              <w:adjustRightInd w:val="0"/>
              <w:jc w:val="left"/>
              <w:rPr>
                <w:rFonts w:cs="Arial"/>
                <w:szCs w:val="20"/>
              </w:rPr>
            </w:pPr>
          </w:p>
          <w:p w14:paraId="4DB3875E" w14:textId="77777777" w:rsidR="008D4060" w:rsidRDefault="008D4060" w:rsidP="008C3D2C">
            <w:pPr>
              <w:autoSpaceDE w:val="0"/>
              <w:autoSpaceDN w:val="0"/>
              <w:adjustRightInd w:val="0"/>
              <w:jc w:val="left"/>
              <w:rPr>
                <w:rFonts w:cs="Arial"/>
                <w:szCs w:val="20"/>
              </w:rPr>
            </w:pPr>
            <w:r>
              <w:rPr>
                <w:rFonts w:cs="Arial"/>
                <w:szCs w:val="20"/>
              </w:rPr>
              <w:t xml:space="preserve">Local suppliers can bid on their own without teaming up with other companies </w:t>
            </w:r>
            <w:proofErr w:type="gramStart"/>
            <w:r>
              <w:rPr>
                <w:rFonts w:cs="Arial"/>
                <w:szCs w:val="20"/>
              </w:rPr>
              <w:t>as long as</w:t>
            </w:r>
            <w:proofErr w:type="gramEnd"/>
            <w:r>
              <w:rPr>
                <w:rFonts w:cs="Arial"/>
                <w:szCs w:val="20"/>
              </w:rPr>
              <w:t xml:space="preserve"> they will meet all the tender requirements</w:t>
            </w:r>
            <w:r w:rsidR="00A34A57">
              <w:rPr>
                <w:rFonts w:cs="Arial"/>
                <w:szCs w:val="20"/>
              </w:rPr>
              <w:t>.</w:t>
            </w:r>
          </w:p>
          <w:p w14:paraId="34B1BE92" w14:textId="77777777" w:rsidR="00A34A57" w:rsidRDefault="00A34A57" w:rsidP="008C3D2C">
            <w:pPr>
              <w:autoSpaceDE w:val="0"/>
              <w:autoSpaceDN w:val="0"/>
              <w:adjustRightInd w:val="0"/>
              <w:jc w:val="left"/>
              <w:rPr>
                <w:rFonts w:cs="Arial"/>
                <w:szCs w:val="20"/>
              </w:rPr>
            </w:pPr>
          </w:p>
          <w:p w14:paraId="775768AA" w14:textId="3108EB20" w:rsidR="00A34A57" w:rsidRDefault="000A6E04" w:rsidP="008C3D2C">
            <w:pPr>
              <w:autoSpaceDE w:val="0"/>
              <w:autoSpaceDN w:val="0"/>
              <w:adjustRightInd w:val="0"/>
              <w:jc w:val="left"/>
              <w:rPr>
                <w:rFonts w:cs="Arial"/>
                <w:szCs w:val="20"/>
              </w:rPr>
            </w:pPr>
            <w:r>
              <w:rPr>
                <w:rFonts w:cs="Arial"/>
                <w:szCs w:val="20"/>
              </w:rPr>
              <w:t xml:space="preserve">In the event of a Joint Venture or Partnership both parties need to submit their </w:t>
            </w:r>
            <w:r w:rsidR="00A34A57">
              <w:rPr>
                <w:rFonts w:cs="Arial"/>
                <w:szCs w:val="20"/>
              </w:rPr>
              <w:t>reference list</w:t>
            </w:r>
            <w:r>
              <w:rPr>
                <w:rFonts w:cs="Arial"/>
                <w:szCs w:val="20"/>
              </w:rPr>
              <w:t xml:space="preserve">, however the focus will be on </w:t>
            </w:r>
            <w:r w:rsidR="005448FC">
              <w:rPr>
                <w:rFonts w:cs="Arial"/>
                <w:szCs w:val="20"/>
              </w:rPr>
              <w:t xml:space="preserve">the </w:t>
            </w:r>
            <w:r>
              <w:rPr>
                <w:rFonts w:cs="Arial"/>
                <w:szCs w:val="20"/>
              </w:rPr>
              <w:t xml:space="preserve">party with </w:t>
            </w:r>
            <w:r w:rsidR="00A34A57">
              <w:rPr>
                <w:rFonts w:cs="Arial"/>
                <w:szCs w:val="20"/>
              </w:rPr>
              <w:t>the ATFM deployment experience</w:t>
            </w:r>
            <w:r>
              <w:rPr>
                <w:rFonts w:cs="Arial"/>
                <w:szCs w:val="20"/>
              </w:rPr>
              <w:t>.</w:t>
            </w:r>
            <w:r w:rsidR="00A34A57">
              <w:rPr>
                <w:rFonts w:cs="Arial"/>
                <w:szCs w:val="20"/>
              </w:rPr>
              <w:t xml:space="preserve"> </w:t>
            </w:r>
          </w:p>
        </w:tc>
      </w:tr>
      <w:tr w:rsidR="008C3D2C" w14:paraId="1BEB048D" w14:textId="77777777" w:rsidTr="00BE4CA3">
        <w:tc>
          <w:tcPr>
            <w:tcW w:w="557" w:type="dxa"/>
          </w:tcPr>
          <w:p w14:paraId="6D32F37C" w14:textId="4C747631" w:rsidR="008C3D2C" w:rsidRDefault="008C3D2C" w:rsidP="008C3D2C">
            <w:pPr>
              <w:autoSpaceDE w:val="0"/>
              <w:autoSpaceDN w:val="0"/>
              <w:adjustRightInd w:val="0"/>
              <w:jc w:val="left"/>
              <w:rPr>
                <w:rFonts w:cs="Arial"/>
                <w:szCs w:val="20"/>
              </w:rPr>
            </w:pPr>
            <w:r>
              <w:rPr>
                <w:rFonts w:cs="Arial"/>
                <w:szCs w:val="20"/>
              </w:rPr>
              <w:t>2.</w:t>
            </w:r>
          </w:p>
        </w:tc>
        <w:tc>
          <w:tcPr>
            <w:tcW w:w="2401" w:type="dxa"/>
          </w:tcPr>
          <w:p w14:paraId="56B3D701" w14:textId="6793BC80" w:rsidR="008C3D2C" w:rsidRDefault="00BE4CA3" w:rsidP="00BE4CA3">
            <w:pPr>
              <w:autoSpaceDE w:val="0"/>
              <w:autoSpaceDN w:val="0"/>
              <w:adjustRightInd w:val="0"/>
              <w:jc w:val="left"/>
              <w:rPr>
                <w:rFonts w:cs="Arial"/>
                <w:szCs w:val="20"/>
              </w:rPr>
            </w:pPr>
            <w:r>
              <w:rPr>
                <w:rFonts w:cs="Arial"/>
                <w:szCs w:val="20"/>
              </w:rPr>
              <w:t>Volume 1A, 1.4. Acquisition strategy section, page 10.</w:t>
            </w:r>
          </w:p>
        </w:tc>
        <w:tc>
          <w:tcPr>
            <w:tcW w:w="5542" w:type="dxa"/>
          </w:tcPr>
          <w:p w14:paraId="246F1924" w14:textId="52D50DEF" w:rsidR="00BE4CA3" w:rsidRDefault="00BE4CA3" w:rsidP="00BE4CA3">
            <w:pPr>
              <w:autoSpaceDE w:val="0"/>
              <w:autoSpaceDN w:val="0"/>
              <w:adjustRightInd w:val="0"/>
              <w:rPr>
                <w:rFonts w:ascii="Arial-ItalicMT" w:hAnsi="Arial-ItalicMT" w:cs="Arial-ItalicMT"/>
                <w:i/>
                <w:iCs/>
                <w:szCs w:val="20"/>
              </w:rPr>
            </w:pPr>
            <w:r>
              <w:rPr>
                <w:rFonts w:ascii="Arial-ItalicMT" w:hAnsi="Arial-ItalicMT" w:cs="Arial-ItalicMT"/>
                <w:i/>
                <w:iCs/>
                <w:szCs w:val="20"/>
              </w:rPr>
              <w:t xml:space="preserve">“The proposed acquisition strategy is to award to one </w:t>
            </w:r>
            <w:r>
              <w:rPr>
                <w:rFonts w:cs="Arial"/>
                <w:i/>
                <w:iCs/>
                <w:szCs w:val="20"/>
              </w:rPr>
              <w:t xml:space="preserve">supplier meeting the Preferential Procurement requirements for the entire scope of sourcing, implementation, and support of the project. Suppliers that do not meet the Preferential Procurement requirements must partner with a local supplier that meets the requirements in the form of a </w:t>
            </w:r>
            <w:r>
              <w:rPr>
                <w:rFonts w:ascii="Arial-ItalicMT" w:hAnsi="Arial-ItalicMT" w:cs="Arial-ItalicMT"/>
                <w:i/>
                <w:iCs/>
                <w:szCs w:val="20"/>
              </w:rPr>
              <w:t>joint venture.”</w:t>
            </w:r>
          </w:p>
          <w:p w14:paraId="6F0DE423" w14:textId="77777777" w:rsidR="00385491" w:rsidRDefault="00385491" w:rsidP="00BE4CA3">
            <w:pPr>
              <w:autoSpaceDE w:val="0"/>
              <w:autoSpaceDN w:val="0"/>
              <w:adjustRightInd w:val="0"/>
              <w:jc w:val="left"/>
              <w:rPr>
                <w:rFonts w:cs="Arial"/>
                <w:szCs w:val="20"/>
              </w:rPr>
            </w:pPr>
          </w:p>
          <w:p w14:paraId="4C4C1E0D" w14:textId="0827845F" w:rsidR="008C3D2C" w:rsidRDefault="00BE4CA3" w:rsidP="00385491">
            <w:pPr>
              <w:autoSpaceDE w:val="0"/>
              <w:autoSpaceDN w:val="0"/>
              <w:adjustRightInd w:val="0"/>
              <w:rPr>
                <w:rFonts w:cs="Arial"/>
                <w:szCs w:val="20"/>
              </w:rPr>
            </w:pPr>
            <w:r>
              <w:rPr>
                <w:rFonts w:cs="Arial"/>
                <w:szCs w:val="20"/>
              </w:rPr>
              <w:t>In reference to this paragraph, it is not clear if ATNS is requiring the foreign and local partner to be structured in the form of a Joint Venture or if they can also use other instruments such as Partner Agreement, Consortium, or Joint Venture already referenced in Page 4 of Volume 1A. The paragraph as it stands implies that only Joint Venture will be the acceptable legal form of Bidder.</w:t>
            </w:r>
          </w:p>
        </w:tc>
        <w:tc>
          <w:tcPr>
            <w:tcW w:w="5103" w:type="dxa"/>
          </w:tcPr>
          <w:p w14:paraId="18EC3DB2" w14:textId="77777777" w:rsidR="008C3D2C" w:rsidRDefault="00CE4B06" w:rsidP="00CE4B06">
            <w:pPr>
              <w:spacing w:before="120" w:after="120" w:line="276" w:lineRule="auto"/>
              <w:rPr>
                <w:rFonts w:cs="Arial"/>
                <w:b/>
                <w:bCs/>
              </w:rPr>
            </w:pPr>
            <w:r w:rsidRPr="00E22D23">
              <w:rPr>
                <w:rFonts w:cs="Arial"/>
              </w:rPr>
              <w:t>Suppliers not meeting the requirements of the Preferential Procurement requirements (PP)</w:t>
            </w:r>
            <w:r>
              <w:rPr>
                <w:rFonts w:cs="Arial"/>
              </w:rPr>
              <w:t xml:space="preserve"> </w:t>
            </w:r>
            <w:r w:rsidRPr="00E22D23">
              <w:rPr>
                <w:rFonts w:cs="Arial"/>
                <w:b/>
                <w:i/>
              </w:rPr>
              <w:t>B-BBEE compliant suppliers with B-BBEE contribution level 1 to level 4</w:t>
            </w:r>
            <w:r>
              <w:rPr>
                <w:rFonts w:cs="Arial"/>
                <w:b/>
                <w:i/>
              </w:rPr>
              <w:t xml:space="preserve"> </w:t>
            </w:r>
            <w:r w:rsidRPr="00E22D23">
              <w:rPr>
                <w:rFonts w:cs="Arial"/>
              </w:rPr>
              <w:t>are required to clearly identify any possible teaming arrangement</w:t>
            </w:r>
            <w:r>
              <w:rPr>
                <w:rFonts w:cs="Arial"/>
              </w:rPr>
              <w:t xml:space="preserve"> </w:t>
            </w:r>
            <w:r w:rsidRPr="00CE4B06">
              <w:rPr>
                <w:rFonts w:cs="Arial"/>
                <w:b/>
                <w:bCs/>
              </w:rPr>
              <w:t>(Joint Venture OR Consortium)</w:t>
            </w:r>
          </w:p>
          <w:p w14:paraId="4DCEBFA1" w14:textId="77777777" w:rsidR="00CE4B06" w:rsidRDefault="00CE4B06" w:rsidP="00CE4B06">
            <w:pPr>
              <w:spacing w:before="120" w:after="120" w:line="276" w:lineRule="auto"/>
              <w:rPr>
                <w:rFonts w:cs="Arial"/>
                <w:b/>
                <w:bCs/>
              </w:rPr>
            </w:pPr>
          </w:p>
          <w:p w14:paraId="1F29A6A7" w14:textId="1C4EDDCF" w:rsidR="00CE4B06" w:rsidRPr="00CE4B06" w:rsidRDefault="00CE4B06" w:rsidP="00CE4B06">
            <w:pPr>
              <w:spacing w:before="120" w:after="120" w:line="276" w:lineRule="auto"/>
              <w:rPr>
                <w:rFonts w:cs="Arial"/>
              </w:rPr>
            </w:pPr>
            <w:r>
              <w:rPr>
                <w:rFonts w:cs="Arial"/>
              </w:rPr>
              <w:t>Only if your company does not have B-BBEE Level 1-4 then you are encouraged to do the above.</w:t>
            </w:r>
          </w:p>
        </w:tc>
      </w:tr>
      <w:tr w:rsidR="008C3D2C" w14:paraId="21FA6AA3" w14:textId="77777777" w:rsidTr="00BE4CA3">
        <w:tc>
          <w:tcPr>
            <w:tcW w:w="557" w:type="dxa"/>
          </w:tcPr>
          <w:p w14:paraId="0F3D9C73" w14:textId="7FB9DC71" w:rsidR="008C3D2C" w:rsidRDefault="008C3D2C" w:rsidP="008C3D2C">
            <w:pPr>
              <w:autoSpaceDE w:val="0"/>
              <w:autoSpaceDN w:val="0"/>
              <w:adjustRightInd w:val="0"/>
              <w:jc w:val="left"/>
              <w:rPr>
                <w:rFonts w:cs="Arial"/>
                <w:szCs w:val="20"/>
              </w:rPr>
            </w:pPr>
            <w:r>
              <w:rPr>
                <w:rFonts w:cs="Arial"/>
                <w:szCs w:val="20"/>
              </w:rPr>
              <w:t>3.</w:t>
            </w:r>
          </w:p>
        </w:tc>
        <w:tc>
          <w:tcPr>
            <w:tcW w:w="2401" w:type="dxa"/>
          </w:tcPr>
          <w:p w14:paraId="49A794E2" w14:textId="3AC16CA4" w:rsidR="008C3D2C" w:rsidRDefault="00BE4CA3" w:rsidP="00BE4CA3">
            <w:pPr>
              <w:autoSpaceDE w:val="0"/>
              <w:autoSpaceDN w:val="0"/>
              <w:adjustRightInd w:val="0"/>
              <w:jc w:val="left"/>
              <w:rPr>
                <w:rFonts w:cs="Arial"/>
                <w:szCs w:val="20"/>
              </w:rPr>
            </w:pPr>
            <w:r>
              <w:rPr>
                <w:rFonts w:cs="Arial"/>
                <w:szCs w:val="20"/>
              </w:rPr>
              <w:t xml:space="preserve">Volume 1A, 3.7.1 </w:t>
            </w:r>
            <w:r>
              <w:rPr>
                <w:rFonts w:ascii="ArialMT" w:hAnsi="ArialMT" w:cs="ArialMT"/>
                <w:szCs w:val="20"/>
              </w:rPr>
              <w:t xml:space="preserve">– </w:t>
            </w:r>
            <w:r>
              <w:rPr>
                <w:rFonts w:cs="Arial"/>
                <w:szCs w:val="20"/>
              </w:rPr>
              <w:t>Page 18 of 59</w:t>
            </w:r>
          </w:p>
        </w:tc>
        <w:tc>
          <w:tcPr>
            <w:tcW w:w="5542" w:type="dxa"/>
          </w:tcPr>
          <w:p w14:paraId="3D078947" w14:textId="2971AD2A" w:rsidR="008C3D2C" w:rsidRDefault="00BE4CA3" w:rsidP="00385491">
            <w:pPr>
              <w:autoSpaceDE w:val="0"/>
              <w:autoSpaceDN w:val="0"/>
              <w:adjustRightInd w:val="0"/>
              <w:rPr>
                <w:rFonts w:cs="Arial"/>
                <w:szCs w:val="20"/>
              </w:rPr>
            </w:pPr>
            <w:r>
              <w:rPr>
                <w:rFonts w:cs="Arial"/>
                <w:szCs w:val="20"/>
              </w:rPr>
              <w:t>Usually, ANSP has an established budget for the bids, including for avoiding discrepancies among bidder`s offers. In this sense, can please ATNS inform the booked budget for this project?</w:t>
            </w:r>
          </w:p>
        </w:tc>
        <w:tc>
          <w:tcPr>
            <w:tcW w:w="5103" w:type="dxa"/>
          </w:tcPr>
          <w:p w14:paraId="652A4733" w14:textId="25EF1BC9" w:rsidR="00BA3D6D" w:rsidRDefault="00BA3D6D" w:rsidP="008C3D2C">
            <w:pPr>
              <w:autoSpaceDE w:val="0"/>
              <w:autoSpaceDN w:val="0"/>
              <w:adjustRightInd w:val="0"/>
              <w:jc w:val="left"/>
              <w:rPr>
                <w:rFonts w:cs="Arial"/>
                <w:szCs w:val="20"/>
              </w:rPr>
            </w:pPr>
            <w:r>
              <w:rPr>
                <w:rFonts w:cs="Arial"/>
                <w:szCs w:val="20"/>
              </w:rPr>
              <w:t>We are not allowed to share the budget of the project with prospective bidders hence we advertise request for proposals that allow bidders to propose a solution including their costing.</w:t>
            </w:r>
          </w:p>
        </w:tc>
      </w:tr>
      <w:tr w:rsidR="008C3D2C" w14:paraId="2C543120" w14:textId="77777777" w:rsidTr="00BE4CA3">
        <w:tc>
          <w:tcPr>
            <w:tcW w:w="557" w:type="dxa"/>
          </w:tcPr>
          <w:p w14:paraId="7E864D7F" w14:textId="7FE41AD4" w:rsidR="008C3D2C" w:rsidRDefault="008C3D2C" w:rsidP="008C3D2C">
            <w:pPr>
              <w:autoSpaceDE w:val="0"/>
              <w:autoSpaceDN w:val="0"/>
              <w:adjustRightInd w:val="0"/>
              <w:jc w:val="left"/>
              <w:rPr>
                <w:rFonts w:cs="Arial"/>
                <w:szCs w:val="20"/>
              </w:rPr>
            </w:pPr>
            <w:r>
              <w:rPr>
                <w:rFonts w:cs="Arial"/>
                <w:szCs w:val="20"/>
              </w:rPr>
              <w:t>4.</w:t>
            </w:r>
          </w:p>
        </w:tc>
        <w:tc>
          <w:tcPr>
            <w:tcW w:w="2401" w:type="dxa"/>
          </w:tcPr>
          <w:p w14:paraId="01580FF4" w14:textId="1C981B2C" w:rsidR="008C3D2C" w:rsidRDefault="008C3D2C" w:rsidP="008C3D2C">
            <w:pPr>
              <w:autoSpaceDE w:val="0"/>
              <w:autoSpaceDN w:val="0"/>
              <w:adjustRightInd w:val="0"/>
              <w:jc w:val="left"/>
              <w:rPr>
                <w:rFonts w:cs="Arial"/>
                <w:szCs w:val="20"/>
              </w:rPr>
            </w:pPr>
            <w:r w:rsidRPr="008C3D2C">
              <w:rPr>
                <w:rFonts w:cs="Arial"/>
                <w:szCs w:val="20"/>
              </w:rPr>
              <w:t>Volume 2 – Item 5 p.59</w:t>
            </w:r>
          </w:p>
        </w:tc>
        <w:tc>
          <w:tcPr>
            <w:tcW w:w="5542" w:type="dxa"/>
          </w:tcPr>
          <w:p w14:paraId="7149C90E" w14:textId="39BCD8CF" w:rsidR="008C3D2C" w:rsidRPr="008C3D2C" w:rsidRDefault="008C3D2C" w:rsidP="00385491">
            <w:pPr>
              <w:autoSpaceDE w:val="0"/>
              <w:autoSpaceDN w:val="0"/>
              <w:adjustRightInd w:val="0"/>
              <w:rPr>
                <w:rFonts w:cs="Arial"/>
                <w:szCs w:val="20"/>
              </w:rPr>
            </w:pPr>
            <w:r w:rsidRPr="008C3D2C">
              <w:rPr>
                <w:rFonts w:cs="Arial"/>
                <w:szCs w:val="20"/>
              </w:rPr>
              <w:t>We request ATNS to supply all the Interface Control</w:t>
            </w:r>
            <w:r>
              <w:rPr>
                <w:rFonts w:cs="Arial"/>
                <w:szCs w:val="20"/>
              </w:rPr>
              <w:t xml:space="preserve"> </w:t>
            </w:r>
            <w:r w:rsidRPr="008C3D2C">
              <w:rPr>
                <w:rFonts w:cs="Arial"/>
                <w:szCs w:val="20"/>
              </w:rPr>
              <w:t>Documents available to exchange messages with the</w:t>
            </w:r>
            <w:r>
              <w:rPr>
                <w:rFonts w:cs="Arial"/>
                <w:szCs w:val="20"/>
              </w:rPr>
              <w:t xml:space="preserve"> </w:t>
            </w:r>
            <w:r w:rsidRPr="008C3D2C">
              <w:rPr>
                <w:rFonts w:cs="Arial"/>
                <w:szCs w:val="20"/>
              </w:rPr>
              <w:t>existing and future systems, including hardware interface,</w:t>
            </w:r>
            <w:r>
              <w:rPr>
                <w:rFonts w:cs="Arial"/>
                <w:szCs w:val="20"/>
              </w:rPr>
              <w:t xml:space="preserve"> </w:t>
            </w:r>
            <w:r w:rsidRPr="008C3D2C">
              <w:rPr>
                <w:rFonts w:cs="Arial"/>
                <w:szCs w:val="20"/>
              </w:rPr>
              <w:t>communication protocols, and message formats:</w:t>
            </w:r>
          </w:p>
          <w:p w14:paraId="36B32435" w14:textId="77777777" w:rsidR="008C3D2C" w:rsidRPr="008C3D2C" w:rsidRDefault="008C3D2C" w:rsidP="008C3D2C">
            <w:pPr>
              <w:autoSpaceDE w:val="0"/>
              <w:autoSpaceDN w:val="0"/>
              <w:adjustRightInd w:val="0"/>
              <w:jc w:val="left"/>
              <w:rPr>
                <w:rFonts w:cs="Arial"/>
                <w:szCs w:val="20"/>
              </w:rPr>
            </w:pPr>
            <w:r w:rsidRPr="008C3D2C">
              <w:rPr>
                <w:rFonts w:cs="Arial"/>
                <w:szCs w:val="20"/>
              </w:rPr>
              <w:lastRenderedPageBreak/>
              <w:t>a) SCORE - Strategic Slot Allocation</w:t>
            </w:r>
          </w:p>
          <w:p w14:paraId="1180E47E" w14:textId="77777777" w:rsidR="008C3D2C" w:rsidRPr="008C3D2C" w:rsidRDefault="008C3D2C" w:rsidP="008C3D2C">
            <w:pPr>
              <w:autoSpaceDE w:val="0"/>
              <w:autoSpaceDN w:val="0"/>
              <w:adjustRightInd w:val="0"/>
              <w:jc w:val="left"/>
              <w:rPr>
                <w:rFonts w:cs="Arial"/>
                <w:szCs w:val="20"/>
              </w:rPr>
            </w:pPr>
            <w:r w:rsidRPr="008C3D2C">
              <w:rPr>
                <w:rFonts w:cs="Arial"/>
                <w:szCs w:val="20"/>
              </w:rPr>
              <w:t>b) OAG – Official Airline Guide</w:t>
            </w:r>
          </w:p>
          <w:p w14:paraId="18CA6415" w14:textId="77777777" w:rsidR="008C3D2C" w:rsidRPr="008C3D2C" w:rsidRDefault="008C3D2C" w:rsidP="008C3D2C">
            <w:pPr>
              <w:autoSpaceDE w:val="0"/>
              <w:autoSpaceDN w:val="0"/>
              <w:adjustRightInd w:val="0"/>
              <w:jc w:val="left"/>
              <w:rPr>
                <w:rFonts w:cs="Arial"/>
                <w:szCs w:val="20"/>
              </w:rPr>
            </w:pPr>
            <w:r w:rsidRPr="008C3D2C">
              <w:rPr>
                <w:rFonts w:cs="Arial"/>
                <w:szCs w:val="20"/>
              </w:rPr>
              <w:t>c) A-SMGCS</w:t>
            </w:r>
          </w:p>
          <w:p w14:paraId="5089ABDC" w14:textId="5F8DB43B" w:rsidR="008C3D2C" w:rsidRPr="008C3D2C" w:rsidRDefault="008C3D2C" w:rsidP="008C3D2C">
            <w:pPr>
              <w:autoSpaceDE w:val="0"/>
              <w:autoSpaceDN w:val="0"/>
              <w:adjustRightInd w:val="0"/>
              <w:jc w:val="left"/>
              <w:rPr>
                <w:rFonts w:cs="Arial"/>
                <w:szCs w:val="20"/>
              </w:rPr>
            </w:pPr>
            <w:r w:rsidRPr="008C3D2C">
              <w:rPr>
                <w:rFonts w:cs="Arial"/>
                <w:szCs w:val="20"/>
              </w:rPr>
              <w:t xml:space="preserve">d) </w:t>
            </w:r>
            <w:proofErr w:type="spellStart"/>
            <w:r w:rsidRPr="008C3D2C">
              <w:rPr>
                <w:rFonts w:cs="Arial"/>
                <w:szCs w:val="20"/>
              </w:rPr>
              <w:t>TopSky</w:t>
            </w:r>
            <w:proofErr w:type="spellEnd"/>
            <w:r w:rsidRPr="008C3D2C">
              <w:rPr>
                <w:rFonts w:cs="Arial"/>
                <w:szCs w:val="20"/>
              </w:rPr>
              <w:t xml:space="preserve"> ATM systems at FAOR and FACT,</w:t>
            </w:r>
            <w:r>
              <w:rPr>
                <w:rFonts w:cs="Arial"/>
                <w:szCs w:val="20"/>
              </w:rPr>
              <w:t xml:space="preserve"> </w:t>
            </w:r>
            <w:r w:rsidRPr="008C3D2C">
              <w:rPr>
                <w:rFonts w:cs="Arial"/>
                <w:szCs w:val="20"/>
              </w:rPr>
              <w:t xml:space="preserve">including Surveillance Data, Flight Plan </w:t>
            </w:r>
            <w:proofErr w:type="gramStart"/>
            <w:r w:rsidRPr="008C3D2C">
              <w:rPr>
                <w:rFonts w:cs="Arial"/>
                <w:szCs w:val="20"/>
              </w:rPr>
              <w:t>Interface</w:t>
            </w:r>
            <w:proofErr w:type="gramEnd"/>
            <w:r w:rsidRPr="008C3D2C">
              <w:rPr>
                <w:rFonts w:cs="Arial"/>
                <w:szCs w:val="20"/>
              </w:rPr>
              <w:t xml:space="preserve"> and</w:t>
            </w:r>
            <w:r>
              <w:rPr>
                <w:rFonts w:cs="Arial"/>
                <w:szCs w:val="20"/>
              </w:rPr>
              <w:t xml:space="preserve"> </w:t>
            </w:r>
            <w:r w:rsidRPr="008C3D2C">
              <w:rPr>
                <w:rFonts w:cs="Arial"/>
                <w:szCs w:val="20"/>
              </w:rPr>
              <w:t>others.</w:t>
            </w:r>
          </w:p>
          <w:p w14:paraId="4C92EF7D" w14:textId="77777777" w:rsidR="008C3D2C" w:rsidRPr="008C3D2C" w:rsidRDefault="008C3D2C" w:rsidP="008C3D2C">
            <w:pPr>
              <w:autoSpaceDE w:val="0"/>
              <w:autoSpaceDN w:val="0"/>
              <w:adjustRightInd w:val="0"/>
              <w:jc w:val="left"/>
              <w:rPr>
                <w:rFonts w:cs="Arial"/>
                <w:szCs w:val="20"/>
              </w:rPr>
            </w:pPr>
            <w:r w:rsidRPr="008C3D2C">
              <w:rPr>
                <w:rFonts w:cs="Arial"/>
                <w:szCs w:val="20"/>
              </w:rPr>
              <w:t>e) AIM/AIS System</w:t>
            </w:r>
          </w:p>
          <w:p w14:paraId="3BFA5CB6" w14:textId="77777777" w:rsidR="008C3D2C" w:rsidRPr="008C3D2C" w:rsidRDefault="008C3D2C" w:rsidP="008C3D2C">
            <w:pPr>
              <w:autoSpaceDE w:val="0"/>
              <w:autoSpaceDN w:val="0"/>
              <w:adjustRightInd w:val="0"/>
              <w:jc w:val="left"/>
              <w:rPr>
                <w:rFonts w:cs="Arial"/>
                <w:szCs w:val="20"/>
              </w:rPr>
            </w:pPr>
            <w:r w:rsidRPr="008C3D2C">
              <w:rPr>
                <w:rFonts w:cs="Arial"/>
                <w:szCs w:val="20"/>
              </w:rPr>
              <w:t>f) MAESTRO, AMAN/DMAN/XMAN</w:t>
            </w:r>
          </w:p>
          <w:p w14:paraId="0EC384D7" w14:textId="77777777" w:rsidR="008C3D2C" w:rsidRPr="008C3D2C" w:rsidRDefault="008C3D2C" w:rsidP="008C3D2C">
            <w:pPr>
              <w:autoSpaceDE w:val="0"/>
              <w:autoSpaceDN w:val="0"/>
              <w:adjustRightInd w:val="0"/>
              <w:jc w:val="left"/>
              <w:rPr>
                <w:rFonts w:cs="Arial"/>
                <w:szCs w:val="20"/>
              </w:rPr>
            </w:pPr>
            <w:r w:rsidRPr="008C3D2C">
              <w:rPr>
                <w:rFonts w:cs="Arial"/>
                <w:szCs w:val="20"/>
              </w:rPr>
              <w:t>g) Airline Operations</w:t>
            </w:r>
          </w:p>
          <w:p w14:paraId="7DCBF3F5" w14:textId="77777777" w:rsidR="008C3D2C" w:rsidRPr="008C3D2C" w:rsidRDefault="008C3D2C" w:rsidP="008C3D2C">
            <w:pPr>
              <w:autoSpaceDE w:val="0"/>
              <w:autoSpaceDN w:val="0"/>
              <w:adjustRightInd w:val="0"/>
              <w:jc w:val="left"/>
              <w:rPr>
                <w:rFonts w:cs="Arial"/>
                <w:szCs w:val="20"/>
              </w:rPr>
            </w:pPr>
            <w:r w:rsidRPr="008C3D2C">
              <w:rPr>
                <w:rFonts w:cs="Arial"/>
                <w:szCs w:val="20"/>
              </w:rPr>
              <w:t>h) Airport Operational System</w:t>
            </w:r>
          </w:p>
          <w:p w14:paraId="145B05A1" w14:textId="77777777" w:rsidR="008C3D2C" w:rsidRPr="008C3D2C" w:rsidRDefault="008C3D2C" w:rsidP="008C3D2C">
            <w:pPr>
              <w:autoSpaceDE w:val="0"/>
              <w:autoSpaceDN w:val="0"/>
              <w:adjustRightInd w:val="0"/>
              <w:jc w:val="left"/>
              <w:rPr>
                <w:rFonts w:cs="Arial"/>
                <w:szCs w:val="20"/>
              </w:rPr>
            </w:pPr>
            <w:proofErr w:type="spellStart"/>
            <w:r w:rsidRPr="008C3D2C">
              <w:rPr>
                <w:rFonts w:cs="Arial"/>
                <w:szCs w:val="20"/>
              </w:rPr>
              <w:t>i</w:t>
            </w:r>
            <w:proofErr w:type="spellEnd"/>
            <w:r w:rsidRPr="008C3D2C">
              <w:rPr>
                <w:rFonts w:cs="Arial"/>
                <w:szCs w:val="20"/>
              </w:rPr>
              <w:t>) SAWS Titan Meteorological System</w:t>
            </w:r>
          </w:p>
          <w:p w14:paraId="02F39C47" w14:textId="77777777" w:rsidR="008C3D2C" w:rsidRPr="008C3D2C" w:rsidRDefault="008C3D2C" w:rsidP="008C3D2C">
            <w:pPr>
              <w:autoSpaceDE w:val="0"/>
              <w:autoSpaceDN w:val="0"/>
              <w:adjustRightInd w:val="0"/>
              <w:jc w:val="left"/>
              <w:rPr>
                <w:rFonts w:cs="Arial"/>
                <w:szCs w:val="20"/>
              </w:rPr>
            </w:pPr>
            <w:r w:rsidRPr="008C3D2C">
              <w:rPr>
                <w:rFonts w:cs="Arial"/>
                <w:szCs w:val="20"/>
              </w:rPr>
              <w:t>j) VSAT Communication System</w:t>
            </w:r>
          </w:p>
          <w:p w14:paraId="56BEF867" w14:textId="77777777" w:rsidR="008C3D2C" w:rsidRPr="008C3D2C" w:rsidRDefault="008C3D2C" w:rsidP="008C3D2C">
            <w:pPr>
              <w:autoSpaceDE w:val="0"/>
              <w:autoSpaceDN w:val="0"/>
              <w:adjustRightInd w:val="0"/>
              <w:jc w:val="left"/>
              <w:rPr>
                <w:rFonts w:cs="Arial"/>
                <w:szCs w:val="20"/>
              </w:rPr>
            </w:pPr>
            <w:r w:rsidRPr="008C3D2C">
              <w:rPr>
                <w:rFonts w:cs="Arial"/>
                <w:szCs w:val="20"/>
              </w:rPr>
              <w:t>k) FlightRadar24-Pro</w:t>
            </w:r>
          </w:p>
          <w:p w14:paraId="774C727D" w14:textId="77777777" w:rsidR="008C3D2C" w:rsidRPr="008C3D2C" w:rsidRDefault="008C3D2C" w:rsidP="008C3D2C">
            <w:pPr>
              <w:autoSpaceDE w:val="0"/>
              <w:autoSpaceDN w:val="0"/>
              <w:adjustRightInd w:val="0"/>
              <w:jc w:val="left"/>
              <w:rPr>
                <w:rFonts w:cs="Arial"/>
                <w:szCs w:val="20"/>
              </w:rPr>
            </w:pPr>
            <w:r w:rsidRPr="008C3D2C">
              <w:rPr>
                <w:rFonts w:cs="Arial"/>
                <w:szCs w:val="20"/>
              </w:rPr>
              <w:t>l) Regional ATFM</w:t>
            </w:r>
          </w:p>
          <w:p w14:paraId="4AD12BE8" w14:textId="77777777" w:rsidR="008C3D2C" w:rsidRPr="008C3D2C" w:rsidRDefault="008C3D2C" w:rsidP="008C3D2C">
            <w:pPr>
              <w:autoSpaceDE w:val="0"/>
              <w:autoSpaceDN w:val="0"/>
              <w:adjustRightInd w:val="0"/>
              <w:jc w:val="left"/>
              <w:rPr>
                <w:rFonts w:cs="Arial"/>
                <w:szCs w:val="20"/>
              </w:rPr>
            </w:pPr>
            <w:r w:rsidRPr="008C3D2C">
              <w:rPr>
                <w:rFonts w:cs="Arial"/>
                <w:szCs w:val="20"/>
              </w:rPr>
              <w:t>m) LR-ATFM</w:t>
            </w:r>
          </w:p>
          <w:p w14:paraId="558E3EEB" w14:textId="77777777" w:rsidR="008C3D2C" w:rsidRPr="008C3D2C" w:rsidRDefault="008C3D2C" w:rsidP="008C3D2C">
            <w:pPr>
              <w:autoSpaceDE w:val="0"/>
              <w:autoSpaceDN w:val="0"/>
              <w:adjustRightInd w:val="0"/>
              <w:jc w:val="left"/>
              <w:rPr>
                <w:rFonts w:cs="Arial"/>
                <w:szCs w:val="20"/>
              </w:rPr>
            </w:pPr>
            <w:r w:rsidRPr="008C3D2C">
              <w:rPr>
                <w:rFonts w:cs="Arial"/>
                <w:szCs w:val="20"/>
              </w:rPr>
              <w:t>n) ACSA Airport Gate System</w:t>
            </w:r>
          </w:p>
          <w:p w14:paraId="4D109CD4" w14:textId="77777777" w:rsidR="008C3D2C" w:rsidRPr="008C3D2C" w:rsidRDefault="008C3D2C" w:rsidP="008C3D2C">
            <w:pPr>
              <w:autoSpaceDE w:val="0"/>
              <w:autoSpaceDN w:val="0"/>
              <w:adjustRightInd w:val="0"/>
              <w:jc w:val="left"/>
              <w:rPr>
                <w:rFonts w:cs="Arial"/>
                <w:szCs w:val="20"/>
              </w:rPr>
            </w:pPr>
            <w:r w:rsidRPr="008C3D2C">
              <w:rPr>
                <w:rFonts w:cs="Arial"/>
                <w:szCs w:val="20"/>
              </w:rPr>
              <w:t>o) ACSA Bay-slot System</w:t>
            </w:r>
          </w:p>
          <w:p w14:paraId="115D5A98" w14:textId="77777777" w:rsidR="008C3D2C" w:rsidRPr="008C3D2C" w:rsidRDefault="008C3D2C" w:rsidP="008C3D2C">
            <w:pPr>
              <w:autoSpaceDE w:val="0"/>
              <w:autoSpaceDN w:val="0"/>
              <w:adjustRightInd w:val="0"/>
              <w:jc w:val="left"/>
              <w:rPr>
                <w:rFonts w:cs="Arial"/>
                <w:szCs w:val="20"/>
              </w:rPr>
            </w:pPr>
            <w:r w:rsidRPr="008C3D2C">
              <w:rPr>
                <w:rFonts w:cs="Arial"/>
                <w:szCs w:val="20"/>
              </w:rPr>
              <w:t>p) Subscribed Clients (ACARS/ARINC)</w:t>
            </w:r>
          </w:p>
          <w:p w14:paraId="45692A12" w14:textId="77777777" w:rsidR="008C3D2C" w:rsidRPr="008C3D2C" w:rsidRDefault="008C3D2C" w:rsidP="008C3D2C">
            <w:pPr>
              <w:autoSpaceDE w:val="0"/>
              <w:autoSpaceDN w:val="0"/>
              <w:adjustRightInd w:val="0"/>
              <w:jc w:val="left"/>
              <w:rPr>
                <w:rFonts w:cs="Arial"/>
                <w:szCs w:val="20"/>
              </w:rPr>
            </w:pPr>
            <w:r w:rsidRPr="008C3D2C">
              <w:rPr>
                <w:rFonts w:cs="Arial"/>
                <w:szCs w:val="20"/>
              </w:rPr>
              <w:t xml:space="preserve">q) ATNS </w:t>
            </w:r>
            <w:proofErr w:type="spellStart"/>
            <w:r w:rsidRPr="008C3D2C">
              <w:rPr>
                <w:rFonts w:cs="Arial"/>
                <w:szCs w:val="20"/>
              </w:rPr>
              <w:t>NsGIB</w:t>
            </w:r>
            <w:proofErr w:type="spellEnd"/>
            <w:r w:rsidRPr="008C3D2C">
              <w:rPr>
                <w:rFonts w:cs="Arial"/>
                <w:szCs w:val="20"/>
              </w:rPr>
              <w:t xml:space="preserve"> Tool GRIB2</w:t>
            </w:r>
          </w:p>
          <w:p w14:paraId="6E7FDEDC" w14:textId="77777777" w:rsidR="008C3D2C" w:rsidRPr="008C3D2C" w:rsidRDefault="008C3D2C" w:rsidP="008C3D2C">
            <w:pPr>
              <w:autoSpaceDE w:val="0"/>
              <w:autoSpaceDN w:val="0"/>
              <w:adjustRightInd w:val="0"/>
              <w:jc w:val="left"/>
              <w:rPr>
                <w:rFonts w:cs="Arial"/>
                <w:szCs w:val="20"/>
              </w:rPr>
            </w:pPr>
            <w:r w:rsidRPr="008C3D2C">
              <w:rPr>
                <w:rFonts w:cs="Arial"/>
                <w:szCs w:val="20"/>
              </w:rPr>
              <w:t>r) CPDLC/ADS-C</w:t>
            </w:r>
          </w:p>
          <w:p w14:paraId="3A959476" w14:textId="77777777" w:rsidR="008C3D2C" w:rsidRPr="008C3D2C" w:rsidRDefault="008C3D2C" w:rsidP="008C3D2C">
            <w:pPr>
              <w:autoSpaceDE w:val="0"/>
              <w:autoSpaceDN w:val="0"/>
              <w:adjustRightInd w:val="0"/>
              <w:jc w:val="left"/>
              <w:rPr>
                <w:rFonts w:cs="Arial"/>
                <w:szCs w:val="20"/>
              </w:rPr>
            </w:pPr>
            <w:r w:rsidRPr="008C3D2C">
              <w:rPr>
                <w:rFonts w:cs="Arial"/>
                <w:szCs w:val="20"/>
              </w:rPr>
              <w:t>DocuSign Envelope ID: 24C116FC-2CEE-472D-AC57-3673C252E25E</w:t>
            </w:r>
          </w:p>
          <w:p w14:paraId="176D3422" w14:textId="77777777" w:rsidR="008C3D2C" w:rsidRPr="008C3D2C" w:rsidRDefault="008C3D2C" w:rsidP="008C3D2C">
            <w:pPr>
              <w:autoSpaceDE w:val="0"/>
              <w:autoSpaceDN w:val="0"/>
              <w:adjustRightInd w:val="0"/>
              <w:jc w:val="left"/>
              <w:rPr>
                <w:rFonts w:cs="Arial"/>
                <w:szCs w:val="20"/>
              </w:rPr>
            </w:pPr>
            <w:r w:rsidRPr="008C3D2C">
              <w:rPr>
                <w:rFonts w:cs="Arial"/>
                <w:szCs w:val="20"/>
              </w:rPr>
              <w:t>s) CPDLC with VDL interface</w:t>
            </w:r>
          </w:p>
          <w:p w14:paraId="5375B7D8" w14:textId="77777777" w:rsidR="008C3D2C" w:rsidRPr="008C3D2C" w:rsidRDefault="008C3D2C" w:rsidP="008C3D2C">
            <w:pPr>
              <w:autoSpaceDE w:val="0"/>
              <w:autoSpaceDN w:val="0"/>
              <w:adjustRightInd w:val="0"/>
              <w:jc w:val="left"/>
              <w:rPr>
                <w:rFonts w:cs="Arial"/>
                <w:szCs w:val="20"/>
              </w:rPr>
            </w:pPr>
            <w:r w:rsidRPr="008C3D2C">
              <w:rPr>
                <w:rFonts w:cs="Arial"/>
                <w:szCs w:val="20"/>
              </w:rPr>
              <w:t>t) Aerodrome CDM/ACDM</w:t>
            </w:r>
          </w:p>
          <w:p w14:paraId="2AA560A1" w14:textId="1E308464" w:rsidR="008C3D2C" w:rsidRPr="008C3D2C" w:rsidRDefault="008C3D2C" w:rsidP="008C3D2C">
            <w:pPr>
              <w:autoSpaceDE w:val="0"/>
              <w:autoSpaceDN w:val="0"/>
              <w:adjustRightInd w:val="0"/>
              <w:jc w:val="left"/>
              <w:rPr>
                <w:rFonts w:cs="Arial"/>
                <w:szCs w:val="20"/>
              </w:rPr>
            </w:pPr>
            <w:r w:rsidRPr="008C3D2C">
              <w:rPr>
                <w:rFonts w:cs="Arial"/>
                <w:szCs w:val="20"/>
              </w:rPr>
              <w:t>u) ACDM Information Sharing Platform (ACISP) using</w:t>
            </w:r>
            <w:r>
              <w:rPr>
                <w:rFonts w:cs="Arial"/>
                <w:szCs w:val="20"/>
              </w:rPr>
              <w:t xml:space="preserve"> </w:t>
            </w:r>
            <w:r w:rsidRPr="008C3D2C">
              <w:rPr>
                <w:rFonts w:cs="Arial"/>
                <w:szCs w:val="20"/>
              </w:rPr>
              <w:t>IATA Aviation Information Data Exchange (AIDX)</w:t>
            </w:r>
          </w:p>
          <w:p w14:paraId="2578D070" w14:textId="77777777" w:rsidR="008C3D2C" w:rsidRPr="008C3D2C" w:rsidRDefault="008C3D2C" w:rsidP="008C3D2C">
            <w:pPr>
              <w:autoSpaceDE w:val="0"/>
              <w:autoSpaceDN w:val="0"/>
              <w:adjustRightInd w:val="0"/>
              <w:jc w:val="left"/>
              <w:rPr>
                <w:rFonts w:cs="Arial"/>
                <w:szCs w:val="20"/>
              </w:rPr>
            </w:pPr>
            <w:r w:rsidRPr="008C3D2C">
              <w:rPr>
                <w:rFonts w:cs="Arial"/>
                <w:szCs w:val="20"/>
              </w:rPr>
              <w:t>v) IATA/SITA Communications Interface</w:t>
            </w:r>
          </w:p>
          <w:p w14:paraId="26E12B43" w14:textId="77777777" w:rsidR="008C3D2C" w:rsidRPr="008C3D2C" w:rsidRDefault="008C3D2C" w:rsidP="008C3D2C">
            <w:pPr>
              <w:autoSpaceDE w:val="0"/>
              <w:autoSpaceDN w:val="0"/>
              <w:adjustRightInd w:val="0"/>
              <w:jc w:val="left"/>
              <w:rPr>
                <w:rFonts w:cs="Arial"/>
                <w:szCs w:val="20"/>
              </w:rPr>
            </w:pPr>
            <w:r w:rsidRPr="008C3D2C">
              <w:rPr>
                <w:rFonts w:cs="Arial"/>
                <w:szCs w:val="20"/>
              </w:rPr>
              <w:t>w) SWIM interface</w:t>
            </w:r>
          </w:p>
          <w:p w14:paraId="2A68BF36" w14:textId="15A83A81" w:rsidR="008C3D2C" w:rsidRDefault="008C3D2C" w:rsidP="008C3D2C">
            <w:pPr>
              <w:autoSpaceDE w:val="0"/>
              <w:autoSpaceDN w:val="0"/>
              <w:adjustRightInd w:val="0"/>
              <w:jc w:val="left"/>
              <w:rPr>
                <w:rFonts w:cs="Arial"/>
                <w:szCs w:val="20"/>
              </w:rPr>
            </w:pPr>
            <w:r w:rsidRPr="008C3D2C">
              <w:rPr>
                <w:rFonts w:cs="Arial"/>
                <w:szCs w:val="20"/>
              </w:rPr>
              <w:t>For the AFTN/AMHS we assume the ICAO standard</w:t>
            </w:r>
            <w:r>
              <w:rPr>
                <w:rFonts w:cs="Arial"/>
                <w:szCs w:val="20"/>
              </w:rPr>
              <w:t xml:space="preserve"> </w:t>
            </w:r>
            <w:r w:rsidRPr="008C3D2C">
              <w:rPr>
                <w:rFonts w:cs="Arial"/>
                <w:szCs w:val="20"/>
              </w:rPr>
              <w:t>interface.</w:t>
            </w:r>
          </w:p>
        </w:tc>
        <w:tc>
          <w:tcPr>
            <w:tcW w:w="5103" w:type="dxa"/>
          </w:tcPr>
          <w:p w14:paraId="4716028E" w14:textId="460D9BF0" w:rsidR="00261F36" w:rsidRPr="00385491" w:rsidRDefault="00A76299" w:rsidP="00385491">
            <w:pPr>
              <w:autoSpaceDE w:val="0"/>
              <w:autoSpaceDN w:val="0"/>
              <w:adjustRightInd w:val="0"/>
              <w:rPr>
                <w:rFonts w:cs="Arial"/>
                <w:szCs w:val="20"/>
              </w:rPr>
            </w:pPr>
            <w:r w:rsidRPr="00385491">
              <w:rPr>
                <w:rFonts w:cs="Arial"/>
                <w:szCs w:val="20"/>
              </w:rPr>
              <w:lastRenderedPageBreak/>
              <w:t xml:space="preserve">ATNS can unfortunately not provide the Interface Control Documents </w:t>
            </w:r>
            <w:r w:rsidR="00261F36" w:rsidRPr="00385491">
              <w:rPr>
                <w:rFonts w:cs="Arial"/>
                <w:szCs w:val="20"/>
              </w:rPr>
              <w:t xml:space="preserve">(ICD) </w:t>
            </w:r>
            <w:r w:rsidRPr="00385491">
              <w:rPr>
                <w:rFonts w:cs="Arial"/>
                <w:szCs w:val="20"/>
              </w:rPr>
              <w:t>on the existing systems as they are mostly proprietary documents that cannot be shared</w:t>
            </w:r>
            <w:r w:rsidR="00261F36" w:rsidRPr="00385491">
              <w:rPr>
                <w:rFonts w:cs="Arial"/>
                <w:szCs w:val="20"/>
              </w:rPr>
              <w:t>.</w:t>
            </w:r>
          </w:p>
          <w:p w14:paraId="2606DB4F" w14:textId="6109A65D" w:rsidR="00261F36" w:rsidRPr="00385491" w:rsidRDefault="00261F36" w:rsidP="00CE4B06">
            <w:pPr>
              <w:autoSpaceDE w:val="0"/>
              <w:autoSpaceDN w:val="0"/>
              <w:adjustRightInd w:val="0"/>
              <w:rPr>
                <w:rFonts w:cs="Arial"/>
                <w:szCs w:val="20"/>
              </w:rPr>
            </w:pPr>
            <w:r w:rsidRPr="00385491">
              <w:rPr>
                <w:rFonts w:cs="Arial"/>
                <w:szCs w:val="20"/>
              </w:rPr>
              <w:lastRenderedPageBreak/>
              <w:t>Access to the ICD’s will be arranged once the prospective contractor has been identified for contract negotiations and implementation.</w:t>
            </w:r>
          </w:p>
          <w:p w14:paraId="0F7C3D9C" w14:textId="7DE78860" w:rsidR="00261F36" w:rsidRDefault="00261F36" w:rsidP="00385491">
            <w:pPr>
              <w:autoSpaceDE w:val="0"/>
              <w:autoSpaceDN w:val="0"/>
              <w:adjustRightInd w:val="0"/>
              <w:rPr>
                <w:rFonts w:cs="Arial"/>
                <w:szCs w:val="20"/>
              </w:rPr>
            </w:pPr>
            <w:r w:rsidRPr="00385491">
              <w:rPr>
                <w:rFonts w:cs="Arial"/>
                <w:szCs w:val="20"/>
              </w:rPr>
              <w:t xml:space="preserve">Bidders are expected to </w:t>
            </w:r>
            <w:r w:rsidR="00795C1B" w:rsidRPr="00385491">
              <w:rPr>
                <w:rFonts w:cs="Arial"/>
                <w:szCs w:val="20"/>
              </w:rPr>
              <w:t>indicate</w:t>
            </w:r>
            <w:r w:rsidRPr="00385491">
              <w:rPr>
                <w:rFonts w:cs="Arial"/>
                <w:szCs w:val="20"/>
              </w:rPr>
              <w:t xml:space="preserve"> </w:t>
            </w:r>
            <w:r w:rsidR="003E7F50" w:rsidRPr="00385491">
              <w:rPr>
                <w:rFonts w:cs="Arial"/>
                <w:szCs w:val="20"/>
              </w:rPr>
              <w:t xml:space="preserve">their capability on the system proposed to interface with the various </w:t>
            </w:r>
            <w:r w:rsidR="00795C1B" w:rsidRPr="00385491">
              <w:rPr>
                <w:rFonts w:cs="Arial"/>
                <w:szCs w:val="20"/>
              </w:rPr>
              <w:t>systems as defined in Volume 2 and specified under par 5.4</w:t>
            </w:r>
          </w:p>
        </w:tc>
      </w:tr>
      <w:tr w:rsidR="008C3D2C" w14:paraId="15F786BE" w14:textId="77777777" w:rsidTr="00BE4CA3">
        <w:tc>
          <w:tcPr>
            <w:tcW w:w="557" w:type="dxa"/>
          </w:tcPr>
          <w:p w14:paraId="34ED513C" w14:textId="07B5B06B" w:rsidR="008C3D2C" w:rsidRDefault="00385491" w:rsidP="008C3D2C">
            <w:pPr>
              <w:autoSpaceDE w:val="0"/>
              <w:autoSpaceDN w:val="0"/>
              <w:adjustRightInd w:val="0"/>
              <w:jc w:val="left"/>
              <w:rPr>
                <w:rFonts w:cs="Arial"/>
                <w:szCs w:val="20"/>
              </w:rPr>
            </w:pPr>
            <w:r>
              <w:rPr>
                <w:rFonts w:cs="Arial"/>
                <w:szCs w:val="20"/>
              </w:rPr>
              <w:lastRenderedPageBreak/>
              <w:t>5.</w:t>
            </w:r>
          </w:p>
        </w:tc>
        <w:tc>
          <w:tcPr>
            <w:tcW w:w="2401" w:type="dxa"/>
          </w:tcPr>
          <w:p w14:paraId="0F523A43" w14:textId="01C4B88D" w:rsidR="008C3D2C" w:rsidRDefault="00385491" w:rsidP="00385491">
            <w:pPr>
              <w:autoSpaceDE w:val="0"/>
              <w:autoSpaceDN w:val="0"/>
              <w:adjustRightInd w:val="0"/>
              <w:jc w:val="left"/>
              <w:rPr>
                <w:rFonts w:cs="Arial"/>
                <w:szCs w:val="20"/>
              </w:rPr>
            </w:pPr>
            <w:r>
              <w:rPr>
                <w:rFonts w:cs="Arial"/>
                <w:szCs w:val="20"/>
              </w:rPr>
              <w:t xml:space="preserve">Volume 1A </w:t>
            </w:r>
            <w:r>
              <w:rPr>
                <w:rFonts w:ascii="ArialMT" w:hAnsi="ArialMT" w:cs="ArialMT"/>
                <w:szCs w:val="20"/>
              </w:rPr>
              <w:t xml:space="preserve">– </w:t>
            </w:r>
            <w:r>
              <w:rPr>
                <w:rFonts w:cs="Arial"/>
                <w:szCs w:val="20"/>
              </w:rPr>
              <w:t xml:space="preserve">Item 3.5.2 </w:t>
            </w:r>
            <w:r>
              <w:rPr>
                <w:rFonts w:ascii="ArialMT" w:hAnsi="ArialMT" w:cs="ArialMT"/>
                <w:szCs w:val="20"/>
              </w:rPr>
              <w:t xml:space="preserve">– </w:t>
            </w:r>
            <w:r>
              <w:rPr>
                <w:rFonts w:cs="Arial"/>
                <w:szCs w:val="20"/>
              </w:rPr>
              <w:t>Page 18 of 59</w:t>
            </w:r>
          </w:p>
        </w:tc>
        <w:tc>
          <w:tcPr>
            <w:tcW w:w="5542" w:type="dxa"/>
          </w:tcPr>
          <w:p w14:paraId="6091D4CC" w14:textId="04052FCF" w:rsidR="008C3D2C" w:rsidRDefault="00385491" w:rsidP="00385491">
            <w:pPr>
              <w:autoSpaceDE w:val="0"/>
              <w:autoSpaceDN w:val="0"/>
              <w:adjustRightInd w:val="0"/>
              <w:rPr>
                <w:rFonts w:cs="Arial"/>
                <w:szCs w:val="20"/>
              </w:rPr>
            </w:pPr>
            <w:r>
              <w:rPr>
                <w:rFonts w:cs="Arial"/>
                <w:szCs w:val="20"/>
              </w:rPr>
              <w:t>Due to the massive paperwork required for this bid, as well as the absence of personnel due to the legal and mandatory vacation season that coincided with the period of this bid, we kindly request that ATNS extends the submission deadline to 30/09/2022.</w:t>
            </w:r>
          </w:p>
        </w:tc>
        <w:tc>
          <w:tcPr>
            <w:tcW w:w="5103" w:type="dxa"/>
          </w:tcPr>
          <w:p w14:paraId="559D7DFF" w14:textId="7AFC8C6E" w:rsidR="008C3D2C" w:rsidRDefault="00BA3D6D" w:rsidP="008C3D2C">
            <w:pPr>
              <w:autoSpaceDE w:val="0"/>
              <w:autoSpaceDN w:val="0"/>
              <w:adjustRightInd w:val="0"/>
              <w:jc w:val="left"/>
              <w:rPr>
                <w:rFonts w:cs="Arial"/>
                <w:szCs w:val="20"/>
              </w:rPr>
            </w:pPr>
            <w:r>
              <w:rPr>
                <w:rFonts w:cs="Arial"/>
                <w:szCs w:val="20"/>
              </w:rPr>
              <w:t>The tender closing date has been extended to the 03</w:t>
            </w:r>
            <w:proofErr w:type="gramStart"/>
            <w:r w:rsidRPr="00BA3D6D">
              <w:rPr>
                <w:rFonts w:cs="Arial"/>
                <w:szCs w:val="20"/>
                <w:vertAlign w:val="superscript"/>
              </w:rPr>
              <w:t xml:space="preserve">rd </w:t>
            </w:r>
            <w:r>
              <w:rPr>
                <w:rFonts w:cs="Arial"/>
                <w:szCs w:val="20"/>
              </w:rPr>
              <w:t xml:space="preserve"> October</w:t>
            </w:r>
            <w:proofErr w:type="gramEnd"/>
            <w:r>
              <w:rPr>
                <w:rFonts w:cs="Arial"/>
                <w:szCs w:val="20"/>
              </w:rPr>
              <w:t xml:space="preserve"> 2022 at 12h00.  It is also amended on the ATNS website and National Treasury eTender portal.</w:t>
            </w:r>
          </w:p>
        </w:tc>
      </w:tr>
    </w:tbl>
    <w:p w14:paraId="7B104666" w14:textId="3A69A1FA" w:rsidR="008C3D2C" w:rsidRDefault="008C3D2C" w:rsidP="008C3D2C">
      <w:pPr>
        <w:autoSpaceDE w:val="0"/>
        <w:autoSpaceDN w:val="0"/>
        <w:adjustRightInd w:val="0"/>
        <w:jc w:val="left"/>
        <w:rPr>
          <w:rFonts w:cs="Arial"/>
          <w:szCs w:val="20"/>
        </w:rPr>
      </w:pPr>
    </w:p>
    <w:p w14:paraId="0177D575" w14:textId="77777777" w:rsidR="008C3D2C" w:rsidRPr="008C3D2C" w:rsidRDefault="008C3D2C" w:rsidP="008C3D2C">
      <w:pPr>
        <w:autoSpaceDE w:val="0"/>
        <w:autoSpaceDN w:val="0"/>
        <w:adjustRightInd w:val="0"/>
        <w:jc w:val="left"/>
        <w:rPr>
          <w:rFonts w:cs="Arial"/>
          <w:szCs w:val="20"/>
        </w:rPr>
      </w:pPr>
    </w:p>
    <w:sectPr w:rsidR="008C3D2C" w:rsidRPr="008C3D2C" w:rsidSect="00BE4CA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27DE5" w14:textId="77777777" w:rsidR="006905F3" w:rsidRDefault="006905F3" w:rsidP="00BE4CA3">
      <w:r>
        <w:separator/>
      </w:r>
    </w:p>
  </w:endnote>
  <w:endnote w:type="continuationSeparator" w:id="0">
    <w:p w14:paraId="03ED94ED" w14:textId="77777777" w:rsidR="006905F3" w:rsidRDefault="006905F3" w:rsidP="00BE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424D6" w14:textId="77777777" w:rsidR="006905F3" w:rsidRDefault="006905F3" w:rsidP="00BE4CA3">
      <w:r>
        <w:separator/>
      </w:r>
    </w:p>
  </w:footnote>
  <w:footnote w:type="continuationSeparator" w:id="0">
    <w:p w14:paraId="2DDD36B2" w14:textId="77777777" w:rsidR="006905F3" w:rsidRDefault="006905F3" w:rsidP="00BE4C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D2C"/>
    <w:rsid w:val="000A6E04"/>
    <w:rsid w:val="00261F36"/>
    <w:rsid w:val="00270AA6"/>
    <w:rsid w:val="002B432E"/>
    <w:rsid w:val="002F684D"/>
    <w:rsid w:val="00385491"/>
    <w:rsid w:val="003E7F50"/>
    <w:rsid w:val="00511E8C"/>
    <w:rsid w:val="005366CF"/>
    <w:rsid w:val="005448FC"/>
    <w:rsid w:val="006905F3"/>
    <w:rsid w:val="006B3DFF"/>
    <w:rsid w:val="006D3B58"/>
    <w:rsid w:val="00710443"/>
    <w:rsid w:val="0078763D"/>
    <w:rsid w:val="00795C1B"/>
    <w:rsid w:val="007A2989"/>
    <w:rsid w:val="00871C95"/>
    <w:rsid w:val="008C3D2C"/>
    <w:rsid w:val="008D4060"/>
    <w:rsid w:val="009E5EFF"/>
    <w:rsid w:val="00A34A57"/>
    <w:rsid w:val="00A50C11"/>
    <w:rsid w:val="00A76299"/>
    <w:rsid w:val="00AF453E"/>
    <w:rsid w:val="00BA3D6D"/>
    <w:rsid w:val="00BE4CA3"/>
    <w:rsid w:val="00C059A4"/>
    <w:rsid w:val="00C37E07"/>
    <w:rsid w:val="00C41143"/>
    <w:rsid w:val="00CE4B06"/>
    <w:rsid w:val="00CF6234"/>
    <w:rsid w:val="00D22C4F"/>
    <w:rsid w:val="00D936E3"/>
    <w:rsid w:val="00E3311E"/>
    <w:rsid w:val="00E730BB"/>
    <w:rsid w:val="00E73F94"/>
    <w:rsid w:val="00E874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40527"/>
  <w15:chartTrackingRefBased/>
  <w15:docId w15:val="{F3CE52D4-8DD1-4A6F-9B0E-71DFD57B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11E"/>
    <w:pPr>
      <w:spacing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3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4CA3"/>
    <w:pPr>
      <w:tabs>
        <w:tab w:val="center" w:pos="4513"/>
        <w:tab w:val="right" w:pos="9026"/>
      </w:tabs>
    </w:pPr>
  </w:style>
  <w:style w:type="character" w:customStyle="1" w:styleId="HeaderChar">
    <w:name w:val="Header Char"/>
    <w:basedOn w:val="DefaultParagraphFont"/>
    <w:link w:val="Header"/>
    <w:uiPriority w:val="99"/>
    <w:rsid w:val="00BE4CA3"/>
    <w:rPr>
      <w:rFonts w:ascii="Arial" w:hAnsi="Arial"/>
      <w:sz w:val="20"/>
    </w:rPr>
  </w:style>
  <w:style w:type="paragraph" w:styleId="Footer">
    <w:name w:val="footer"/>
    <w:basedOn w:val="Normal"/>
    <w:link w:val="FooterChar"/>
    <w:uiPriority w:val="99"/>
    <w:unhideWhenUsed/>
    <w:rsid w:val="00BE4CA3"/>
    <w:pPr>
      <w:tabs>
        <w:tab w:val="center" w:pos="4513"/>
        <w:tab w:val="right" w:pos="9026"/>
      </w:tabs>
    </w:pPr>
  </w:style>
  <w:style w:type="character" w:customStyle="1" w:styleId="FooterChar">
    <w:name w:val="Footer Char"/>
    <w:basedOn w:val="DefaultParagraphFont"/>
    <w:link w:val="Footer"/>
    <w:uiPriority w:val="99"/>
    <w:rsid w:val="00BE4CA3"/>
    <w:rPr>
      <w:rFonts w:ascii="Arial" w:hAnsi="Arial"/>
      <w:sz w:val="20"/>
    </w:rPr>
  </w:style>
  <w:style w:type="paragraph" w:styleId="Revision">
    <w:name w:val="Revision"/>
    <w:hidden/>
    <w:uiPriority w:val="99"/>
    <w:semiHidden/>
    <w:rsid w:val="00A34A57"/>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3929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Schalkwyk</dc:creator>
  <cp:keywords/>
  <dc:description/>
  <cp:lastModifiedBy>Nokuthula Sangweni</cp:lastModifiedBy>
  <cp:revision>2</cp:revision>
  <dcterms:created xsi:type="dcterms:W3CDTF">2022-08-23T07:00:00Z</dcterms:created>
  <dcterms:modified xsi:type="dcterms:W3CDTF">2022-08-23T07:00:00Z</dcterms:modified>
</cp:coreProperties>
</file>